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Quaker Chemical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747316107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Gulf Hungary Holding Korlatolt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Felelossegu Tarsasag, 2 Furj Street, Attention: Judit Rozsa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Budapest, K5, 1124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36-20940-2900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QH Hungary Holdings Limited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BAH Center, 2 Furj Street, Attention: Judit Rozsa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Budapest, K5, 1124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36-20940-2900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747316107</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Gulf Hungary Holding Korlatolt Felelossegu Tarsasag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220" w:type="dxa"/>
            <w:vAlign w:val="bottom"/>
          </w:tcPr>
          <w:p>
            <w:pPr>
              <w:spacing w:after="0"/>
              <w:rPr>
                <w:sz w:val="24"/>
                <w:szCs w:val="24"/>
                <w:color w:val="auto"/>
              </w:rPr>
            </w:pP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HUNGARY</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5,017.00</w:t>
            </w:r>
          </w:p>
        </w:tc>
        <w:tc>
          <w:tcPr>
            <w:tcW w:w="0" w:type="dxa"/>
            <w:vAlign w:val="bottom"/>
          </w:tcPr>
          <w:p>
            <w:pPr>
              <w:spacing w:after="0"/>
              <w:rPr>
                <w:sz w:val="1"/>
                <w:szCs w:val="1"/>
                <w:color w:val="auto"/>
              </w:rPr>
            </w:pPr>
          </w:p>
        </w:tc>
      </w:tr>
      <w:tr>
        <w:trPr>
          <w:trHeight w:val="42"/>
        </w:trPr>
        <w:tc>
          <w:tcPr>
            <w:tcW w:w="1140" w:type="dxa"/>
            <w:vAlign w:val="bottom"/>
            <w:gridSpan w:val="2"/>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3,710,112.00</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5,017.00</w:t>
            </w:r>
          </w:p>
        </w:tc>
        <w:tc>
          <w:tcPr>
            <w:tcW w:w="0" w:type="dxa"/>
            <w:vAlign w:val="bottom"/>
          </w:tcPr>
          <w:p>
            <w:pPr>
              <w:spacing w:after="0"/>
              <w:rPr>
                <w:sz w:val="1"/>
                <w:szCs w:val="1"/>
                <w:color w:val="auto"/>
              </w:rPr>
            </w:pPr>
          </w:p>
        </w:tc>
      </w:t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24"/>
                <w:szCs w:val="24"/>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3,710,112.00</w:t>
            </w:r>
          </w:p>
        </w:tc>
        <w:tc>
          <w:tcPr>
            <w:tcW w:w="0" w:type="dxa"/>
            <w:vAlign w:val="bottom"/>
          </w:tcPr>
          <w:p>
            <w:pPr>
              <w:spacing w:after="0"/>
              <w:rPr>
                <w:sz w:val="1"/>
                <w:szCs w:val="1"/>
                <w:color w:val="auto"/>
              </w:rPr>
            </w:pPr>
          </w:p>
        </w:tc>
      </w:tr>
      <w:tr>
        <w:trPr>
          <w:trHeight w:val="338"/>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3,715,129.00</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21.0 %</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With respect to the numbers set forth in rows 7, 9 and 11 in the table above, these consist of 5,017 shares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2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w w:val="99"/>
              </w:rPr>
              <w:t>Common Stock of the Issuer ("Shares") beneficially owned by Gulf Hungary Holding Korlatolt Felelossegu Tarsasag</w:t>
            </w:r>
          </w:p>
        </w:tc>
        <w:tc>
          <w:tcPr>
            <w:tcW w:w="0" w:type="dxa"/>
            <w:vAlign w:val="bottom"/>
          </w:tcPr>
          <w:p>
            <w:pPr>
              <w:spacing w:after="0"/>
              <w:rPr>
                <w:sz w:val="1"/>
                <w:szCs w:val="1"/>
                <w:color w:val="auto"/>
              </w:rPr>
            </w:pPr>
          </w:p>
        </w:tc>
      </w:tr>
      <w:tr>
        <w:trPr>
          <w:trHeight w:val="240"/>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20" w:type="dxa"/>
            <w:vAlign w:val="bottom"/>
            <w:gridSpan w:val="2"/>
          </w:tcPr>
          <w:p>
            <w:pPr>
              <w:spacing w:after="0" w:line="240" w:lineRule="exact"/>
              <w:rPr>
                <w:sz w:val="20"/>
                <w:szCs w:val="20"/>
                <w:color w:val="auto"/>
              </w:rPr>
            </w:pPr>
            <w:r>
              <w:rPr>
                <w:rFonts w:ascii="Times New Roman" w:cs="Times New Roman" w:eastAsia="Times New Roman" w:hAnsi="Times New Roman"/>
                <w:sz w:val="22"/>
                <w:szCs w:val="22"/>
                <w:color w:val="auto"/>
              </w:rPr>
              <w:t>(a "Reporting Person" or "Gulf Hungary"), which are held in the name of Citibank N.A. pursuant to an Escrow</w:t>
            </w:r>
          </w:p>
        </w:tc>
        <w:tc>
          <w:tcPr>
            <w:tcW w:w="0" w:type="dxa"/>
            <w:vAlign w:val="bottom"/>
          </w:tcPr>
          <w:p>
            <w:pPr>
              <w:spacing w:after="0"/>
              <w:rPr>
                <w:sz w:val="1"/>
                <w:szCs w:val="1"/>
                <w:color w:val="auto"/>
              </w:rPr>
            </w:pPr>
          </w:p>
        </w:tc>
      </w:tr>
      <w:tr>
        <w:trPr>
          <w:trHeight w:val="243"/>
        </w:trPr>
        <w:tc>
          <w:tcPr>
            <w:tcW w:w="1124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b w:val="1"/>
                <w:bCs w:val="1"/>
                <w:color w:val="auto"/>
                <w:vertAlign w:val="superscript"/>
              </w:rPr>
              <w:t>Reporting</w:t>
            </w:r>
            <w:r>
              <w:rPr>
                <w:rFonts w:ascii="Times New Roman" w:cs="Times New Roman" w:eastAsia="Times New Roman" w:hAnsi="Times New Roman"/>
                <w:sz w:val="17"/>
                <w:szCs w:val="17"/>
                <w:color w:val="auto"/>
              </w:rPr>
              <w:t xml:space="preserve"> Agreement (as defined in the Original Schedule 13D, as defined below) in order to secure the Reporting Person's</w:t>
            </w:r>
          </w:p>
        </w:tc>
        <w:tc>
          <w:tcPr>
            <w:tcW w:w="0" w:type="dxa"/>
            <w:vAlign w:val="bottom"/>
          </w:tcPr>
          <w:p>
            <w:pPr>
              <w:spacing w:after="0"/>
              <w:rPr>
                <w:sz w:val="1"/>
                <w:szCs w:val="1"/>
                <w:color w:val="auto"/>
              </w:rPr>
            </w:pPr>
          </w:p>
        </w:tc>
      </w:tr>
      <w:tr>
        <w:trPr>
          <w:trHeight w:val="294"/>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3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indemnification obligations under the Share Purchase Agreement (as defined in the Original Schedule 13D). (2) 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-5577840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-2072005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left="920"/>
        <w:spacing w:after="0" w:line="242" w:lineRule="auto"/>
        <w:rPr>
          <w:sz w:val="20"/>
          <w:szCs w:val="20"/>
          <w:color w:val="auto"/>
        </w:rPr>
      </w:pPr>
      <w:r>
        <w:rPr>
          <w:rFonts w:ascii="Times New Roman" w:cs="Times New Roman" w:eastAsia="Times New Roman" w:hAnsi="Times New Roman"/>
          <w:sz w:val="21"/>
          <w:szCs w:val="21"/>
          <w:color w:val="auto"/>
        </w:rPr>
        <w:t>respect to the numbers set forth in rows 8, 10 and 11 in the table above, these consist of 3,710,112 Shares owned directly by Gulf Hungary's wholly-owned subsidiary QH Hungary Holdings Limited (also a "Reporting Person" or "QH Hungary"), of which: 2,123,167 Shares are pledged to and registered in the name of Citigroup Global Markets Inc., as custodian for the benefit of QH Hungary (in such capacity, the "Margin Loan Custodian") pursuant to a Pledge and Security Agreement (as defined in the Original Schedule 13D) to secure QH Hungary's obligations under a Margin Loan (as defined in the Original Schedule 13D); 1,168,730 Shares are pledged to Citibank N.A. ("Citibank") and held at Citigroup Global Markets Inc. (the "Citi PVF Custodian") pursuant to the Pledge and Security Agreement, dated as of May 19, 2020, between QH Hungary and Citibank, as secured party (the "Citi PVF Security Agreement") to secure QH Hungary's obligations under a Master Terms and Conditions for Prepaid Variable Share Forward Transactions, dated May 19, 2020 (the "Citi Master Confirmation"), between QH Hungary and Citibank, as amended and supplemented by (i) Supplemental Confirmation, dated May 19, 2020 and amended and restated on November 24, 2021, November 22, 2023 and May 22, 2025 (the "First Citi Supplemental Confirmation"), (ii) Supplemental Confirmation No. 2, dated May 26, 2020 and amended and restated on March 9, 2021, November 24, 2021, August 10, 2022, March 6, 2023, May 22, 2024 and November 22, 2024 (the "Second Citi Supplemental Confirmation"), (iii) Supplemental Confirmation No. 3, dated August 27, 2020 and amended and restated on August 10, 2022 and May 22,</w:t>
      </w:r>
    </w:p>
    <w:p>
      <w:pPr>
        <w:sectPr>
          <w:pgSz w:w="11900" w:h="16838" w:orient="portrait"/>
          <w:cols w:equalWidth="0" w:num="1">
            <w:col w:w="11240"/>
          </w:cols>
          <w:pgMar w:left="320" w:top="639" w:right="339" w:bottom="0" w:gutter="0" w:footer="0" w:header="0"/>
        </w:sectPr>
      </w:pPr>
    </w:p>
    <w:bookmarkStart w:id="2" w:name="page3"/>
    <w:bookmarkEnd w:id="2"/>
    <w:p>
      <w:pPr>
        <w:spacing w:after="0" w:line="19" w:lineRule="exact"/>
        <w:rPr>
          <w:sz w:val="20"/>
          <w:szCs w:val="20"/>
          <w:color w:val="auto"/>
        </w:rPr>
      </w:pPr>
    </w:p>
    <w:p>
      <w:pPr>
        <w:jc w:val="both"/>
        <w:ind w:left="880"/>
        <w:spacing w:after="0" w:line="243" w:lineRule="auto"/>
        <w:rPr>
          <w:sz w:val="20"/>
          <w:szCs w:val="20"/>
          <w:color w:val="auto"/>
        </w:rPr>
      </w:pPr>
      <w:r>
        <w:rPr>
          <w:rFonts w:ascii="Times New Roman" w:cs="Times New Roman" w:eastAsia="Times New Roman" w:hAnsi="Times New Roman"/>
          <w:sz w:val="21"/>
          <w:szCs w:val="21"/>
          <w:color w:val="auto"/>
        </w:rPr>
        <w:t>2024 (the "Third Citi Supplemental Confirmation"), (iv) Supplemental Confirmation No. 4, dated March 9, 2021 and amended and restated on November 24, 2021 and March 6, 2023 (the "Fourth Citi Supplemental Confirmation"), (v) Supplemental Confirmation No. 5, dated March 9, 2021 and amended and restated on August 10, 2022 and May 22, 2024 (the "Fifth Citi Supplemental Confirmation"), (vi) Supplemental Confirmation No. 6 originally entered into with JPMorgan Chase Bank, National Association ("JPMorgan"), dated August 27, 2020 and amended and restated and novated to Citibank on August 10, 2022, and as further amended on May 22, 2024 (the "Sixth Citi Supplemental Confirmation"), (vii) Supplemental Confirmation No. 7 originally entered into with JPMorgan, dated March 9, 2021 and amended and restated and novated to Citibank on August 10, 2022 and as further amended on May 22, 204 (the "Seventh Citi Supplemental Confirmation"), (viii) Supplemental Confirmation No. 8, dated May 22, 2024 (the "Eighth Citi Supplemental Confirmation"), and (ix) Supplemental Confirmation No. 9, dated November 22, 2024 (the "Ninth Citi Supplemental Confirmation"), as further described in Item 6 below. 418,215 Shares are pledged to Royal Bank of Canada ("RBC") and held at RBC Capital Markets LLC (the "RBC PVF Custodian") pursuant to the Pledge and Security Agreement, dated as of May 26, 2020, between QH Hungary and RBC, as secured party (the "RBC PVF Security Agreement") to secure QH Hungary's obligations under a Master Terms and Conditions for Prepaid Variable Share Forward Transactions, dated May 26, 2020 (the "RBC Master Confirmation"), between QH Hungary and RBC, as amended and supplemented by (i) Supplemental Confirmation, dated May 26, 2020 and amended and restated on March 9, 2021, November 24, 2021, August 10, 2022, March 6, 2023, May 22, 2024 and November 22, 2024 (the "First RBC Supplemental Confirmation"), (ii) Supplemental Confirmation No. 2, dated March 9, 2021 and amended and restated on November 24, 2021 and March 6, 2023 (the "Second RBC Supplemental Confirmation"), (iii) Supplemental Confirmation No. 3, dated March 9, 2021 and amended and restated on August 10, 2022 and May 22, 2024 (the "Third RBC Supplemental Confirmation"), (iv) Supplemental Confirmation No. 4 originally entered into with JPMorgan, dated March 9, 2021 and amended and restated and novated to RBC on November 24, 2021, and further amended and restated on March 6, 2023 (the "Fourth RBC Supplemental Confirmation"), (v) Supplemental Confirmation No. 5, dated May 22, 2024 (the "Fifth RBC Supplemental Confirmation"), (vi) Supplemental Confirmation No. 6, dated November 22, 2024 (the "Sixth RBC Supplemental Confirmation"), as further described in Item 6 below. (3) With respect to the percentage set forth in row 13 in the table above, this is based upon 17,680,655 shares of Common Stock outstanding as of April 28, 2025, as reported in the Issuer's Quarterly Report on Form 10-Q for the fiscal quarter ended March 31, 2025, as filed with the Securities and Exchange Commission on May 1, 2025.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747316107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QH Hungary Holdings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57" w:orient="portrait"/>
          <w:cols w:equalWidth="0" w:num="1">
            <w:col w:w="11200"/>
          </w:cols>
          <w:pgMar w:left="360" w:top="111" w:right="33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HUNGARY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3,710,112.00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3,710,112.00</w:t>
      </w:r>
    </w:p>
    <w:p>
      <w:pPr>
        <w:sectPr>
          <w:pgSz w:w="11900" w:h="16857" w:orient="portrait"/>
          <w:cols w:equalWidth="0" w:num="2">
            <w:col w:w="1060" w:space="60"/>
            <w:col w:w="10080"/>
          </w:cols>
          <w:pgMar w:left="360" w:top="111" w:right="33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3,710,112.00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With respect to the numbers set forth in rows 8, 10 and 11 in the table above, these consist of 3,710,112 Shares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beneficially owned by QH Hungary, of which: 2,123,167 Shares are pledged to and registered in the name of the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Margin Loan Custodian pursuant to a Pledge and Security Agreement to secure QH Hungary's obligations under a</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Margin Loan; 1,168,730 Shares are pledged to Citibank N.A. ("Citibank") and held at Citigroup Global Markets Inc.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(the "Citi PVF Custodian") pursuant to the Pledge and Security Agreement, dated as of May 19, 2020, between QH</w:t>
      </w:r>
    </w:p>
    <w:p>
      <w:pPr>
        <w:spacing w:after="0" w:line="2" w:lineRule="exact"/>
        <w:rPr>
          <w:sz w:val="20"/>
          <w:szCs w:val="20"/>
          <w:color w:val="auto"/>
        </w:rPr>
      </w:pPr>
    </w:p>
    <w:p>
      <w:pPr>
        <w:jc w:val="both"/>
        <w:ind w:left="920"/>
        <w:spacing w:after="0" w:line="241" w:lineRule="auto"/>
        <w:rPr>
          <w:sz w:val="20"/>
          <w:szCs w:val="20"/>
          <w:color w:val="auto"/>
        </w:rPr>
      </w:pPr>
      <w:r>
        <w:rPr>
          <w:rFonts w:ascii="Times New Roman" w:cs="Times New Roman" w:eastAsia="Times New Roman" w:hAnsi="Times New Roman"/>
          <w:sz w:val="21"/>
          <w:szCs w:val="21"/>
          <w:color w:val="auto"/>
        </w:rPr>
        <w:t>Hungary and Citibank, as secured party (the "Citi PVF Security Agreement") to secure QH Hungary's obligations under a Master Terms and Conditions for Prepaid Variable Share Forward Transactions, dated May 19, 2020 (the "Citi Master Confirmation"), between QH Hungary and Citibank, as amended and supplemented by (i) Supplemental Confirmation, dated May 19, 2020 and amended and restated on November 24, 2021, November 22, 2023 and May 22, 2025 (the "First Citi Supplemental Confirmation"), (ii) Supplemental Confirmation No. 2, dated May 26, 2020 and amended and restated on March 9, 2021, November 24, 2021, August 10, 2022, March 6, 2023, May 22, 2024 and November 22, 2024 (the "Second Citi Supplemental Confirmation"), (iii) Supplemental Confirmation No. 3, dated August 27, 2020 and amended and restated on August 10, 2022 and May 22, 2024 (the "Third Citi Supplemental Confirmation"), (iv) Supplemental Confirmation No. 4, dated March 9, 2021 and amended and restated on November 24, 2021 and March 6, 2023 (the "Fourth Citi Supplemental Confirmation"), (v) Supplemental Confirmation No. 5, dated March 9, 2021 and amended and restated on August 10, 2022 and May 22, 2024 (the "Fifth Citi Supplemental Confirmation"), (vi) Supplemental Confirmation No. 6 originally entered into with JPMorgan Chase Bank, National Association ("JPMorgan"), dated August 27, 2020 and amended and restated and novated to Citibank on August 10, 2022 and as further amended on May 22, 2024 (the "Sixth Citi Supplemental Confirmation"), (vii) Supplemental Confirmation No. 7 originally entered into with JPMorgan, dated March 9, 2021 and amended and restated and novated to Citibank on August 10, 2022 and as further amended on May 22, 204 (the "Seventh Citi Supplemental Confirmation"), (viii) Supplemental Confirmation No. 8, dated May 22, 2024 (the "Eighth Citi Supplemental Confirmation"), and (ix) Supplemental Confirmation No. 9, dated November 22, 2024 (the "Ninth Citi Supplemental Confirmation"), as further described in Item 6 below. 418,215 Shares are pledged to Royal Bank of Canada ("RBC") and held at RBC Capital Markets LLC (the "RBC PVF Custodian") pursuant to the Pledge and Security Agreement, dated as of May 26, 2020, between QH Hungary and RBC, as secured party (the "RBC PVF Security Agreement") to secure QH Hungary's obligations under a Master Terms and Conditions for Prepaid Variable Share Forward Transactions, dated May 26, 2020 (the "RBC Master Confirmation"), between QH Hungary and RBC, as amended and supplemented by (i) Supplemental Confirmation, dated May 26, 2020 and amended and restated on March 9, 2021, November 24, 2021, August 10, 2022, March 6, 2023, May 22, 2024, and November 22, 2024 (the "First RBC Supplemental Confirmation"), (ii) Supplemental Confirmation No. 2, dated March 9, 2021 and amended and restated on November 24, 2021 and March 6, 2023 (the "Second RBC Supplemental Confirmation"), (iii) Supplemental Confirmation No. 3, dated March 9, 2021 and amended and restated on August 10, 2022 and May 22, 2024 (the "Third RBC Supplemental Confirmation"), (iv) Supplemental Confirmation No. 4 originally entered into with JPMorgan, dated March 9, 2021 and amended and restated and novated to RBC on November 24, 2021, and further amended and restated on March 6, 2023 (the "Fourth RBC Supplemental Confirmation"), (v) Supplemental Confirmation No. 5, dated May 22, 2024 (the "Fifth RBC Supplemental Confirmation"), (vi) Supplemental Confirmation No. 6, dated November 22, 2024 (the "Sixth RBC Supplemental Confirmation"), as further described in Item 6 below. (2) With respect to the percentage set forth in row 13 in the table above, this is based upon 17,680,655 shares of Common Stock outstanding as of April 28, 2025, as reported in the Issuer's Quarterly Report on Form 10-Q for the fiscal quarter ended March 31, 2025, as filed with the Securities and Exchange Commission on May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par value $1.00</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Quaker Chemical Corporation</w:t>
      </w:r>
    </w:p>
    <w:p>
      <w:pPr>
        <w:sectPr>
          <w:pgSz w:w="11900" w:h="16838" w:orient="portrait"/>
          <w:cols w:equalWidth="0" w:num="1">
            <w:col w:w="11240"/>
          </w:cols>
          <w:pgMar w:left="320" w:top="139" w:right="339" w:bottom="0" w:gutter="0" w:footer="0" w:header="0"/>
        </w:sectPr>
      </w:pPr>
    </w:p>
    <w:bookmarkStart w:id="4" w:name="page5"/>
    <w:bookmarkEnd w:id="4"/>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right="1600" w:firstLine="932"/>
        <w:spacing w:after="0" w:line="294" w:lineRule="auto"/>
        <w:rPr>
          <w:sz w:val="20"/>
          <w:szCs w:val="20"/>
          <w:color w:val="auto"/>
        </w:rPr>
      </w:pPr>
      <w:r>
        <w:rPr>
          <w:rFonts w:ascii="Times New Roman" w:cs="Times New Roman" w:eastAsia="Times New Roman" w:hAnsi="Times New Roman"/>
          <w:sz w:val="22"/>
          <w:szCs w:val="22"/>
          <w:color w:val="auto"/>
        </w:rPr>
        <w:t>ONE QUAKER PARK, 901 HECTOR STREET,, CONSHOHOCKEN, PENNSYLVANIA , 19428. Item 2. Identity and Background</w:t>
      </w:r>
    </w:p>
    <w:p>
      <w:pPr>
        <w:spacing w:after="0" w:line="1"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 (e), see Amendment No. 1 to Schedule 13D filed on April 13, 2020.</w:t>
      </w:r>
    </w:p>
    <w:p>
      <w:pPr>
        <w:spacing w:after="0" w:line="44" w:lineRule="exact"/>
        <w:rPr>
          <w:sz w:val="20"/>
          <w:szCs w:val="20"/>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For Item 3, see Amendment No. 1 to Schedule 13D filed on April 13, 2020.</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31" w:lineRule="auto"/>
        <w:rPr>
          <w:sz w:val="20"/>
          <w:szCs w:val="20"/>
          <w:color w:val="auto"/>
        </w:rPr>
      </w:pPr>
      <w:r>
        <w:rPr>
          <w:rFonts w:ascii="Times New Roman" w:cs="Times New Roman" w:eastAsia="Times New Roman" w:hAnsi="Times New Roman"/>
          <w:sz w:val="22"/>
          <w:szCs w:val="22"/>
          <w:color w:val="auto"/>
        </w:rPr>
        <w:t>Introductory Note This Amendment No. 38 to Schedule 13D (this "Amendment No. 38") amends and supplements the statement on Schedule 13D filed on August 9, 2019, as amended by Amendment No. 1 filed on April 13, 2020, Amendment No. 2 filed on May 21, 2020, Amendment No. 3 filed on May 28, 2020, Amendment No. 4 filed on August 31, 2020, Amendment No. 5 filed on March 11, 2021, Amendment No. 6 filed on May 26, 2022, Amendment No. 7 filed on July 13, 2022, Amendment No. 8 filed on July 18, 2022, Amendment No. 9 filed on July 21, 2022, Amendment No. 10 filed on July 26, 2022, Amendment No. 11 filed on July 29, 2022, Amendment No. 12 filed on August 3, 2022, Amendment No. 13 filed on August 8, 2022, Amendment No. 14 filed on August 11, 2022, Amendment No. 15 filed on August 12, 2022, Amendment No. 16 filed on March 8, 2023, Amendment No. 17 filed on November 27, 2023, Amendment No. 18 filed on May 24, 2024, Amendment No. 19 filed on November 26, 2024, Amendment No. 20 filed on November 27, 2024, Amendment No. 21 filed on December 4, 2024, Amendment No. 22 filed on December 9, 2024, Amendment No. 23 filed on December 12, 2024, Amendment No. 24 filed on December 17, 2024, Amendment No. 25 filed on December 20, 2024, Amendment No. 26 filed on December 26, 2024, Amendment No. 27 filed on December 27, 2024, Amendment No. 28 filed on January 2, 2025, Amendment No. 29 filed on January 7, 2025, Amendment No. 30 filed on January 10, 2025, Amendment No. 31 filed on January 15, 2025, Amendment No. 32 filed on January 21, 2025, Amendment No. 33 filed on January 24, 2025, Amendment No. 34 filed on January 29, 2025, Amendment No. 35 filed on February 3, 2025, Amendment No. 36 filed on February 6, 2025 and Amendment No. 37 filed on February 11, 2025 (together, the "Original Schedule 13D") with the Securities and Exchange Commission (the "SEC"). This Amendment No. 38 is being filed in relation to the amendment and restatement of an existing and previously reported prepaid variable share forward transaction with Citibank, N.A. ("Citibank"), which is the amendment dated May 22, 2025 to the First Citi Supplemental Confirmation (such amendment, the "05/22/2024 Citi VPF Amendment"). In exchange for amending and restating the First Citi Supplemental Confirmation, QH Hungary paid $4,828,795 to Citibank. Pursuant to such transaction, QH Hungary has the option to settle its obligations at the end of the applicable contract by delivering Shares to Citibank, as described in more details in Item 6 below or the cash equivalent thereof. After the 05/22/2025 Citi VPF Amendment, QH Hungary remained the direct beneficial owner of a total of 3,710,112 Shares and Gulf Hungary remained the indirect beneficial owner of the same 3,710,112 Shares. Gulf Hungary continues to be the direct beneficial owner of a separate 5,017 Shares. All 3,710,112 Shares directly owned by QH Hungary remain subject to the Shareholder Agreement (as defined in the Original Schedule 13D) to which QH Hungary also became a party by executing a joinder thereto. This Amendment No. 38 is filed jointly by the Reporting Persons. All disclosure for items contained in the Original Schedule 13D is incorporated herein by reference, subject to being amended by the additional information provided for such item in this Amendment No. 38. Capitalized terms used and not defined herein shall have the meanings given to such terms in the Original Schedule 13D. Item 4 of the Original Schedule 13D is hereby amended to add the following: This Amendment No. 38 relates to the 05/22/2025 Citi VPF Amendment, the purpose of which is to facilitate the transactions contemplated by the 05/22/25 Citi VPF Amendment. These transactions were designed for QH Hungary to raise financing, subject to the applicable transaction documents while maintaining an opportunity to share in the Issuer's future growth. These transactions are described in further detail in Item 6 of this Amendment No. 38.</w:t>
      </w:r>
    </w:p>
    <w:p>
      <w:pPr>
        <w:spacing w:after="0" w:line="3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40"/>
        <w:spacing w:after="0" w:line="246" w:lineRule="auto"/>
        <w:rPr>
          <w:sz w:val="20"/>
          <w:szCs w:val="20"/>
          <w:color w:val="auto"/>
        </w:rPr>
      </w:pPr>
      <w:r>
        <w:rPr>
          <w:rFonts w:ascii="Times New Roman" w:cs="Times New Roman" w:eastAsia="Times New Roman" w:hAnsi="Times New Roman"/>
          <w:sz w:val="21"/>
          <w:szCs w:val="21"/>
          <w:color w:val="auto"/>
        </w:rPr>
        <w:t>Item 5 of the Original Schedule 13D is hereby amended and restated as follows: (a) - (b) The information contained on the cover pages to this Amendment No. 38 is incorporated herein by reference. The Shares reported on this Amendment No. 38 are held by the Reporting Persons. QH Hungary is a wholly-owned subsidiary of Gulf Hungary, which is owned by Gulf Houghton, which is a subsidiary of Gulf Oil International. Gulf Oil International is owned by Amas Holding SPF ("Amas Holding"), a private wealth holding company, which in turn is beneficially owned by</w:t>
      </w:r>
    </w:p>
    <w:p>
      <w:pPr>
        <w:spacing w:after="0" w:line="1" w:lineRule="exact"/>
        <w:rPr>
          <w:sz w:val="20"/>
          <w:szCs w:val="20"/>
          <w:color w:val="auto"/>
        </w:rPr>
      </w:pPr>
    </w:p>
    <w:p>
      <w:pPr>
        <w:ind w:left="940" w:right="40" w:hanging="932"/>
        <w:spacing w:after="0" w:line="204" w:lineRule="auto"/>
        <w:tabs>
          <w:tab w:leader="none" w:pos="94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multiple members of the Hinduja family, with no single individual having a beneficial interest in Amas Holding of 5% or more. Based upon 17,680,655 shares of Common Stock outstanding as of April 28, 2025, as reported in the Issuer's Quarterly Report on Form 10-Q for the fiscal quarter ended March 31, 2025, as filed with the Securities and Exchange Commission on May 1, 2025, the Shares owned by the Reporting Persons constitutes approximately 21.0% of the issued and outstanding Common Stock of the Issuer. Except for the Shares owned by the Reporting Persons, none of the Reporting Persons or, to the knowledge of the Reporting Persons, any of the other persons listed in Item 2(a)-(c) hereto beneficially owns any other securities of the Issuer.</w:t>
      </w:r>
    </w:p>
    <w:p>
      <w:pPr>
        <w:spacing w:after="0" w:line="20"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above.</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in Item 3, Item 4 and Item 6, neither the Reporting Persons nor, to the knowledge of the</w:t>
      </w:r>
    </w:p>
    <w:p>
      <w:pPr>
        <w:spacing w:after="0" w:line="14" w:lineRule="exact"/>
        <w:rPr>
          <w:rFonts w:ascii="Times New Roman" w:cs="Times New Roman" w:eastAsia="Times New Roman" w:hAnsi="Times New Roman"/>
          <w:sz w:val="22"/>
          <w:szCs w:val="22"/>
          <w:color w:val="auto"/>
        </w:rPr>
      </w:pPr>
    </w:p>
    <w:p>
      <w:pPr>
        <w:ind w:left="940" w:right="80" w:hanging="932"/>
        <w:spacing w:after="0" w:line="237" w:lineRule="auto"/>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any person listed in Item 2(a)-(c), have effected any transactions in the Common Stock during the past 60 days.</w:t>
      </w:r>
    </w:p>
    <w:p>
      <w:pPr>
        <w:spacing w:after="0" w:line="16" w:lineRule="exact"/>
        <w:rPr>
          <w:rFonts w:ascii="Times New Roman" w:cs="Times New Roman" w:eastAsia="Times New Roman" w:hAnsi="Times New Roman"/>
          <w:sz w:val="22"/>
          <w:szCs w:val="22"/>
          <w:color w:val="auto"/>
        </w:rPr>
      </w:pPr>
    </w:p>
    <w:p>
      <w:pPr>
        <w:ind w:left="940" w:right="320" w:hanging="932"/>
        <w:spacing w:after="0" w:line="185" w:lineRule="auto"/>
        <w:tabs>
          <w:tab w:leader="none" w:pos="94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Item 3, Item 4 and Item 6, no other person has the right to receive or the power to direct the receipt of dividends from, or the proceeds from the sale of, the securities covered by this Amendment No. 38.</w:t>
      </w:r>
    </w:p>
    <w:p>
      <w:pPr>
        <w:sectPr>
          <w:pgSz w:w="11900" w:h="16838" w:orient="portrait"/>
          <w:cols w:equalWidth="0" w:num="1">
            <w:col w:w="11160"/>
          </w:cols>
          <w:pgMar w:left="360" w:top="112" w:right="379" w:bottom="0" w:gutter="0" w:footer="0" w:header="0"/>
        </w:sectPr>
      </w:pPr>
    </w:p>
    <w:bookmarkStart w:id="5" w:name="page6"/>
    <w:bookmarkEnd w:id="5"/>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6 of the Original Schedule 13D is hereby amended to add the following: The information contained in Item 3</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and 4 of the Original Schedule 13D, as amended by this Amendment No. 38, is hereby incorporated by reference</w:t>
      </w:r>
    </w:p>
    <w:p>
      <w:pPr>
        <w:ind w:left="940"/>
        <w:spacing w:after="0" w:line="230" w:lineRule="auto"/>
        <w:rPr>
          <w:sz w:val="20"/>
          <w:szCs w:val="20"/>
          <w:color w:val="auto"/>
        </w:rPr>
      </w:pPr>
      <w:r>
        <w:rPr>
          <w:rFonts w:ascii="Times New Roman" w:cs="Times New Roman" w:eastAsia="Times New Roman" w:hAnsi="Times New Roman"/>
          <w:sz w:val="22"/>
          <w:szCs w:val="22"/>
          <w:color w:val="auto"/>
        </w:rPr>
        <w:t>herein. On May 22, 2025, QH Hungary effected the 05/22/25 Citi VPF Amendment. The First Citi Supplemental</w:t>
      </w:r>
    </w:p>
    <w:p>
      <w:pPr>
        <w:ind w:left="940"/>
        <w:spacing w:after="0" w:line="231" w:lineRule="auto"/>
        <w:rPr>
          <w:sz w:val="20"/>
          <w:szCs w:val="20"/>
          <w:color w:val="auto"/>
        </w:rPr>
      </w:pPr>
      <w:r>
        <w:rPr>
          <w:rFonts w:ascii="Times New Roman" w:cs="Times New Roman" w:eastAsia="Times New Roman" w:hAnsi="Times New Roman"/>
          <w:sz w:val="22"/>
          <w:szCs w:val="22"/>
          <w:color w:val="auto"/>
        </w:rPr>
        <w:t>Confirmation covering a maximum aggregate amount of 350,000 shares is divided into 50 components of 7,000</w:t>
      </w:r>
    </w:p>
    <w:p>
      <w:pPr>
        <w:ind w:left="940"/>
        <w:spacing w:after="0"/>
        <w:rPr>
          <w:sz w:val="20"/>
          <w:szCs w:val="20"/>
          <w:color w:val="auto"/>
        </w:rPr>
      </w:pPr>
      <w:r>
        <w:rPr>
          <w:rFonts w:ascii="Times New Roman" w:cs="Times New Roman" w:eastAsia="Times New Roman" w:hAnsi="Times New Roman"/>
          <w:sz w:val="21"/>
          <w:szCs w:val="21"/>
          <w:color w:val="auto"/>
        </w:rPr>
        <w:t>shares each (each a "Component"). For each Component, QH Hungary is obligated to deliver, on the settlement date</w:t>
      </w:r>
    </w:p>
    <w:p>
      <w:pPr>
        <w:ind w:left="940"/>
        <w:spacing w:after="0" w:line="231" w:lineRule="auto"/>
        <w:rPr>
          <w:sz w:val="20"/>
          <w:szCs w:val="20"/>
          <w:color w:val="auto"/>
        </w:rPr>
      </w:pPr>
      <w:r>
        <w:rPr>
          <w:rFonts w:ascii="Times New Roman" w:cs="Times New Roman" w:eastAsia="Times New Roman" w:hAnsi="Times New Roman"/>
          <w:sz w:val="22"/>
          <w:szCs w:val="22"/>
          <w:color w:val="auto"/>
        </w:rPr>
        <w:t>(the "Settlement Date") determined based on the specified scheduled valuation date within the periods from June 1,</w:t>
      </w:r>
    </w:p>
    <w:p>
      <w:pPr>
        <w:ind w:left="940"/>
        <w:spacing w:after="0" w:line="231" w:lineRule="auto"/>
        <w:rPr>
          <w:sz w:val="20"/>
          <w:szCs w:val="20"/>
          <w:color w:val="auto"/>
        </w:rPr>
      </w:pPr>
      <w:r>
        <w:rPr>
          <w:rFonts w:ascii="Times New Roman" w:cs="Times New Roman" w:eastAsia="Times New Roman" w:hAnsi="Times New Roman"/>
          <w:sz w:val="22"/>
          <w:szCs w:val="22"/>
          <w:color w:val="auto"/>
        </w:rPr>
        <w:t>2027 to August 11, 2027 either, at QH Hungary's option: (a) up to 7,000 Shares for the First Citi Supplemental</w:t>
      </w:r>
    </w:p>
    <w:p>
      <w:pPr>
        <w:ind w:left="940"/>
        <w:spacing w:after="0" w:line="231" w:lineRule="auto"/>
        <w:rPr>
          <w:sz w:val="20"/>
          <w:szCs w:val="20"/>
          <w:color w:val="auto"/>
        </w:rPr>
      </w:pPr>
      <w:r>
        <w:rPr>
          <w:rFonts w:ascii="Times New Roman" w:cs="Times New Roman" w:eastAsia="Times New Roman" w:hAnsi="Times New Roman"/>
          <w:sz w:val="22"/>
          <w:szCs w:val="22"/>
          <w:color w:val="auto"/>
        </w:rPr>
        <w:t>Confirmation, to Citibank (such Share number, "Subject Number") based on the average market price of the Shares</w:t>
      </w:r>
    </w:p>
    <w:p>
      <w:pPr>
        <w:ind w:left="940"/>
        <w:spacing w:after="0"/>
        <w:rPr>
          <w:sz w:val="20"/>
          <w:szCs w:val="20"/>
          <w:color w:val="auto"/>
        </w:rPr>
      </w:pPr>
      <w:r>
        <w:rPr>
          <w:rFonts w:ascii="Times New Roman" w:cs="Times New Roman" w:eastAsia="Times New Roman" w:hAnsi="Times New Roman"/>
          <w:sz w:val="21"/>
          <w:szCs w:val="21"/>
          <w:color w:val="auto"/>
        </w:rPr>
        <w:t>determined as described below or (b) an amount of cash equivalent to the value of such Shares. The number of Shares</w:t>
      </w:r>
    </w:p>
    <w:p>
      <w:pPr>
        <w:ind w:left="940"/>
        <w:spacing w:after="0" w:line="231" w:lineRule="auto"/>
        <w:rPr>
          <w:sz w:val="20"/>
          <w:szCs w:val="20"/>
          <w:color w:val="auto"/>
        </w:rPr>
      </w:pPr>
      <w:r>
        <w:rPr>
          <w:rFonts w:ascii="Times New Roman" w:cs="Times New Roman" w:eastAsia="Times New Roman" w:hAnsi="Times New Roman"/>
          <w:sz w:val="22"/>
          <w:szCs w:val="22"/>
          <w:color w:val="auto"/>
        </w:rPr>
        <w:t>(or, at QH Hungary's option, the cash equivalent) to be delivered to Citibank on each Settlement Date is to be</w:t>
      </w:r>
    </w:p>
    <w:p>
      <w:pPr>
        <w:ind w:left="940"/>
        <w:spacing w:after="0" w:line="231" w:lineRule="auto"/>
        <w:rPr>
          <w:sz w:val="20"/>
          <w:szCs w:val="20"/>
          <w:color w:val="auto"/>
        </w:rPr>
      </w:pPr>
      <w:r>
        <w:rPr>
          <w:rFonts w:ascii="Times New Roman" w:cs="Times New Roman" w:eastAsia="Times New Roman" w:hAnsi="Times New Roman"/>
          <w:sz w:val="22"/>
          <w:szCs w:val="22"/>
          <w:color w:val="auto"/>
        </w:rPr>
        <w:t>determined as follows: (a) if the volume-weighted average price per Share on the relevant valuation date, as</w:t>
      </w:r>
    </w:p>
    <w:p>
      <w:pPr>
        <w:ind w:left="940"/>
        <w:spacing w:after="0" w:line="231" w:lineRule="auto"/>
        <w:rPr>
          <w:sz w:val="20"/>
          <w:szCs w:val="20"/>
          <w:color w:val="auto"/>
        </w:rPr>
      </w:pPr>
      <w:r>
        <w:rPr>
          <w:rFonts w:ascii="Times New Roman" w:cs="Times New Roman" w:eastAsia="Times New Roman" w:hAnsi="Times New Roman"/>
          <w:sz w:val="22"/>
          <w:szCs w:val="22"/>
          <w:color w:val="auto"/>
        </w:rPr>
        <w:t>reasonably determined by Citibank by reference to the Bloomberg Page "KWR &lt;equity&gt; AQR &lt;Go&gt;" (or any</w:t>
      </w:r>
    </w:p>
    <w:p>
      <w:pPr>
        <w:ind w:left="940"/>
        <w:spacing w:after="0" w:line="230" w:lineRule="auto"/>
        <w:rPr>
          <w:sz w:val="20"/>
          <w:szCs w:val="20"/>
          <w:color w:val="auto"/>
        </w:rPr>
      </w:pPr>
      <w:r>
        <w:rPr>
          <w:rFonts w:ascii="Times New Roman" w:cs="Times New Roman" w:eastAsia="Times New Roman" w:hAnsi="Times New Roman"/>
          <w:sz w:val="22"/>
          <w:szCs w:val="22"/>
          <w:color w:val="auto"/>
        </w:rPr>
        <w:t>successor page thereto) (provided that, if such price is not so reported for any reason or is, in Citibank's reasonable</w:t>
      </w:r>
    </w:p>
    <w:p>
      <w:pPr>
        <w:ind w:left="940"/>
        <w:spacing w:after="0" w:line="231" w:lineRule="auto"/>
        <w:rPr>
          <w:sz w:val="20"/>
          <w:szCs w:val="20"/>
          <w:color w:val="auto"/>
        </w:rPr>
      </w:pPr>
      <w:r>
        <w:rPr>
          <w:rFonts w:ascii="Times New Roman" w:cs="Times New Roman" w:eastAsia="Times New Roman" w:hAnsi="Times New Roman"/>
          <w:sz w:val="22"/>
          <w:szCs w:val="22"/>
          <w:color w:val="auto"/>
        </w:rPr>
        <w:t>discretion, erroneous, a price determined by Citibank in good faith and a commercially reasonable manner) (the</w:t>
      </w:r>
    </w:p>
    <w:p>
      <w:pPr>
        <w:ind w:left="940"/>
        <w:spacing w:after="0"/>
        <w:rPr>
          <w:sz w:val="20"/>
          <w:szCs w:val="20"/>
          <w:color w:val="auto"/>
        </w:rPr>
      </w:pPr>
      <w:r>
        <w:rPr>
          <w:rFonts w:ascii="Times New Roman" w:cs="Times New Roman" w:eastAsia="Times New Roman" w:hAnsi="Times New Roman"/>
          <w:sz w:val="21"/>
          <w:szCs w:val="21"/>
          <w:color w:val="auto"/>
        </w:rPr>
        <w:t>"Settlement Price") is equal to or less than $104.9200 per Share (the "Forward Floor Price"), QH Hungary will deliver</w:t>
      </w:r>
    </w:p>
    <w:p>
      <w:pPr>
        <w:ind w:left="940"/>
        <w:spacing w:after="0" w:line="231" w:lineRule="auto"/>
        <w:rPr>
          <w:sz w:val="20"/>
          <w:szCs w:val="20"/>
          <w:color w:val="auto"/>
        </w:rPr>
      </w:pPr>
      <w:r>
        <w:rPr>
          <w:rFonts w:ascii="Times New Roman" w:cs="Times New Roman" w:eastAsia="Times New Roman" w:hAnsi="Times New Roman"/>
          <w:sz w:val="22"/>
          <w:szCs w:val="22"/>
          <w:color w:val="auto"/>
        </w:rPr>
        <w:t>to Citibank the Subject Number of Shares; (b) if the Settlement Price is between the Forward Floor Price and</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$115.4120 per Share (the "Forward Cap Price"), QH Hungary will deliver to Citibank a number of Shares equal to the</w:t>
      </w:r>
    </w:p>
    <w:p>
      <w:pPr>
        <w:ind w:left="940"/>
        <w:spacing w:after="0" w:line="231" w:lineRule="auto"/>
        <w:rPr>
          <w:sz w:val="20"/>
          <w:szCs w:val="20"/>
          <w:color w:val="auto"/>
        </w:rPr>
      </w:pPr>
      <w:r>
        <w:rPr>
          <w:rFonts w:ascii="Times New Roman" w:cs="Times New Roman" w:eastAsia="Times New Roman" w:hAnsi="Times New Roman"/>
          <w:sz w:val="22"/>
          <w:szCs w:val="22"/>
          <w:color w:val="auto"/>
        </w:rPr>
        <w:t>Subject Number multiplied by a fraction, the numerator of which is the Forward Floor Price and the denominator of</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which is the Settlement Price; and (c) if the Settlement Price is greater than the Forward Cap Price, QH Hungary will</w:t>
      </w:r>
    </w:p>
    <w:p>
      <w:pPr>
        <w:ind w:left="940"/>
        <w:spacing w:after="0" w:line="231" w:lineRule="auto"/>
        <w:rPr>
          <w:sz w:val="20"/>
          <w:szCs w:val="20"/>
          <w:color w:val="auto"/>
        </w:rPr>
      </w:pPr>
      <w:r>
        <w:rPr>
          <w:rFonts w:ascii="Times New Roman" w:cs="Times New Roman" w:eastAsia="Times New Roman" w:hAnsi="Times New Roman"/>
          <w:sz w:val="22"/>
          <w:szCs w:val="22"/>
          <w:color w:val="auto"/>
        </w:rPr>
        <w:t>deliver to Citibank a number of Shares equal to the product of (i) the Subject Number and (ii) a fraction (A) the</w:t>
      </w:r>
    </w:p>
    <w:p>
      <w:pPr>
        <w:ind w:left="940"/>
        <w:spacing w:after="0" w:line="231" w:lineRule="auto"/>
        <w:rPr>
          <w:sz w:val="20"/>
          <w:szCs w:val="20"/>
          <w:color w:val="auto"/>
        </w:rPr>
      </w:pPr>
      <w:r>
        <w:rPr>
          <w:rFonts w:ascii="Times New Roman" w:cs="Times New Roman" w:eastAsia="Times New Roman" w:hAnsi="Times New Roman"/>
          <w:sz w:val="22"/>
          <w:szCs w:val="22"/>
          <w:color w:val="auto"/>
        </w:rPr>
        <w:t>numerator of which is the sum of (x) the Forward Floor Price and (y) the Settlement Price minus the Forward Cap</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Price, and (B) the denominator of which is the Settlement Price.</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40"/>
        <w:spacing w:after="0" w:line="258" w:lineRule="auto"/>
        <w:rPr>
          <w:sz w:val="20"/>
          <w:szCs w:val="20"/>
          <w:color w:val="auto"/>
        </w:rPr>
      </w:pPr>
      <w:r>
        <w:rPr>
          <w:rFonts w:ascii="Times New Roman" w:cs="Times New Roman" w:eastAsia="Times New Roman" w:hAnsi="Times New Roman"/>
          <w:sz w:val="22"/>
          <w:szCs w:val="22"/>
          <w:color w:val="auto"/>
        </w:rPr>
        <w:t>Exhibit 99.1 Third Amended and Restated Supplemental Confirmation No. 1, dated May 22, 2025, by and among QH Hungary Holdings Limited and Citibank, N.A.</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Gulf Hungary Holding Korlatolt Felelossegu Tarsasag</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Kelleher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Kelleher, Managing Director of the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Reporting Person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05/27/2025</w:t>
      </w:r>
    </w:p>
    <w:p>
      <w:pPr>
        <w:spacing w:after="0" w:line="152" w:lineRule="exact"/>
        <w:rPr>
          <w:sz w:val="20"/>
          <w:szCs w:val="20"/>
          <w:color w:val="auto"/>
        </w:rPr>
      </w:pPr>
    </w:p>
    <w:p>
      <w:pPr>
        <w:ind w:left="40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Judit Rozsa</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Judit Rozsa, Managing Director</w:t>
      </w:r>
    </w:p>
    <w:p>
      <w:pPr>
        <w:spacing w:after="0" w:line="44" w:lineRule="exact"/>
        <w:rPr>
          <w:sz w:val="20"/>
          <w:szCs w:val="20"/>
          <w:color w:val="auto"/>
        </w:rPr>
      </w:pPr>
    </w:p>
    <w:p>
      <w:pPr>
        <w:ind w:left="4040"/>
        <w:spacing w:after="0"/>
        <w:tabs>
          <w:tab w:leader="none" w:pos="5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05/27/2025</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QH Hungary Holdings Limited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Kelleher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Kelleher, Managing Director of the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Reporting Person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05/27/2025</w:t>
      </w:r>
    </w:p>
    <w:p>
      <w:pPr>
        <w:spacing w:after="0" w:line="152" w:lineRule="exact"/>
        <w:rPr>
          <w:sz w:val="20"/>
          <w:szCs w:val="20"/>
          <w:color w:val="auto"/>
        </w:rPr>
      </w:pPr>
    </w:p>
    <w:p>
      <w:pPr>
        <w:ind w:left="40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Judit Rozsa</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Judit Rozsa, Managing Director</w:t>
      </w:r>
    </w:p>
    <w:p>
      <w:pPr>
        <w:spacing w:after="0" w:line="44" w:lineRule="exact"/>
        <w:rPr>
          <w:sz w:val="20"/>
          <w:szCs w:val="20"/>
          <w:color w:val="auto"/>
        </w:rPr>
      </w:pPr>
    </w:p>
    <w:p>
      <w:pPr>
        <w:ind w:left="4040"/>
        <w:spacing w:after="0"/>
        <w:tabs>
          <w:tab w:leader="none" w:pos="5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05/27/2025</w:t>
      </w:r>
    </w:p>
    <w:p>
      <w:pPr>
        <w:sectPr>
          <w:pgSz w:w="11900" w:h="16838" w:orient="portrait"/>
          <w:cols w:equalWidth="0" w:num="1">
            <w:col w:w="11160"/>
          </w:cols>
          <w:pgMar w:left="360" w:top="111"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THIRD AMENDED AND RESTATED SUPPLEMENTAL CONFIRMATION NO. 1</w:t>
      </w:r>
    </w:p>
    <w:p>
      <w:pPr>
        <w:sectPr>
          <w:pgSz w:w="11900" w:h="16838" w:orient="portrait"/>
          <w:cols w:equalWidth="0" w:num="1">
            <w:col w:w="11240"/>
          </w:cols>
          <w:pgMar w:left="320" w:top="333"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22, 2025</w:t>
      </w:r>
    </w:p>
    <w:p>
      <w:pPr>
        <w:spacing w:after="0" w:line="211" w:lineRule="exact"/>
        <w:rPr>
          <w:sz w:val="20"/>
          <w:szCs w:val="20"/>
          <w:color w:val="auto"/>
        </w:rPr>
      </w:pPr>
    </w:p>
    <w:p>
      <w:pPr>
        <w:sectPr>
          <w:pgSz w:w="11900" w:h="16838" w:orient="portrait"/>
          <w:cols w:equalWidth="0" w:num="2">
            <w:col w:w="580" w:space="720"/>
            <w:col w:w="9940"/>
          </w:cols>
          <w:pgMar w:left="320" w:top="333"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QH Hungary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BAH Center | 2 Furj street, Building B, Ground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1124 Budapest, Hungary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Balazs Horvath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+36 1 646 4638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balazs.horvath@bekespartners.com, rozsa.juci@gmail.com</w:t>
      </w:r>
    </w:p>
    <w:p>
      <w:pPr>
        <w:spacing w:after="0" w:line="200" w:lineRule="exact"/>
        <w:rPr>
          <w:sz w:val="20"/>
          <w:szCs w:val="20"/>
          <w:color w:val="auto"/>
        </w:rPr>
      </w:pPr>
    </w:p>
    <w:p>
      <w:pPr>
        <w:sectPr>
          <w:pgSz w:w="11900" w:h="16838" w:orient="portrait"/>
          <w:cols w:equalWidth="0" w:num="2">
            <w:col w:w="580" w:space="720"/>
            <w:col w:w="9940"/>
          </w:cols>
          <w:pgMar w:left="320" w:top="333"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212-615-8985</w:t>
      </w:r>
    </w:p>
    <w:p>
      <w:pPr>
        <w:spacing w:after="0" w:line="200" w:lineRule="exact"/>
        <w:rPr>
          <w:sz w:val="20"/>
          <w:szCs w:val="20"/>
          <w:color w:val="auto"/>
        </w:rPr>
      </w:pPr>
    </w:p>
    <w:p>
      <w:pPr>
        <w:sectPr>
          <w:pgSz w:w="11900" w:h="16838" w:orient="portrait"/>
          <w:cols w:equalWidth="0" w:num="2">
            <w:col w:w="600" w:space="700"/>
            <w:col w:w="9940"/>
          </w:cols>
          <w:pgMar w:left="320" w:top="333"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Number: To be advised.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purpose of this Third Amended and Restated Supplemental Confirmation is to amend and restate the terms and conditions of the Transaction entered into between Citibank, N.A. (“</w:t>
      </w:r>
      <w:r>
        <w:rPr>
          <w:rFonts w:ascii="Times New Roman" w:cs="Times New Roman" w:eastAsia="Times New Roman" w:hAnsi="Times New Roman"/>
          <w:sz w:val="18"/>
          <w:szCs w:val="18"/>
          <w:u w:val="single" w:color="auto"/>
          <w:color w:val="auto"/>
        </w:rPr>
        <w:t>Dealer</w:t>
      </w:r>
      <w:r>
        <w:rPr>
          <w:rFonts w:ascii="Times New Roman" w:cs="Times New Roman" w:eastAsia="Times New Roman" w:hAnsi="Times New Roman"/>
          <w:sz w:val="18"/>
          <w:szCs w:val="18"/>
          <w:color w:val="auto"/>
        </w:rPr>
        <w:t>”) and QH Hungary Holdings Limited (“</w:t>
      </w:r>
      <w:r>
        <w:rPr>
          <w:rFonts w:ascii="Times New Roman" w:cs="Times New Roman" w:eastAsia="Times New Roman" w:hAnsi="Times New Roman"/>
          <w:sz w:val="18"/>
          <w:szCs w:val="18"/>
          <w:u w:val="single" w:color="auto"/>
          <w:color w:val="auto"/>
        </w:rPr>
        <w:t>Counterparty</w:t>
      </w:r>
      <w:r>
        <w:rPr>
          <w:rFonts w:ascii="Times New Roman" w:cs="Times New Roman" w:eastAsia="Times New Roman" w:hAnsi="Times New Roman"/>
          <w:sz w:val="18"/>
          <w:szCs w:val="18"/>
          <w:color w:val="auto"/>
        </w:rPr>
        <w:t>”) on May 19, 2020 (the “</w:t>
      </w:r>
      <w:r>
        <w:rPr>
          <w:rFonts w:ascii="Times New Roman" w:cs="Times New Roman" w:eastAsia="Times New Roman" w:hAnsi="Times New Roman"/>
          <w:sz w:val="18"/>
          <w:szCs w:val="18"/>
          <w:u w:val="single" w:color="auto"/>
          <w:color w:val="auto"/>
        </w:rPr>
        <w:t>Original Transaction</w:t>
      </w:r>
      <w:r>
        <w:rPr>
          <w:rFonts w:ascii="Times New Roman" w:cs="Times New Roman" w:eastAsia="Times New Roman" w:hAnsi="Times New Roman"/>
          <w:sz w:val="18"/>
          <w:szCs w:val="18"/>
          <w:color w:val="auto"/>
        </w:rPr>
        <w:t>”). This Third Amended and Restated Supplemental Confirmation, dated May 22, 2025, amends and restates in its entirety the Second Amended and Restated Supplemental Confirmation, dated November 22, 2023, which amended and restated in its entirety the Amended and Restated Supplemental Confirmation, dated November 24, 2021, which amended and restated in its entirety the Supplemental Confirmation, dated March 9, 2021 (the “</w:t>
      </w:r>
      <w:r>
        <w:rPr>
          <w:rFonts w:ascii="Times New Roman" w:cs="Times New Roman" w:eastAsia="Times New Roman" w:hAnsi="Times New Roman"/>
          <w:sz w:val="18"/>
          <w:szCs w:val="18"/>
          <w:u w:val="single" w:color="auto"/>
          <w:color w:val="auto"/>
        </w:rPr>
        <w:t>Original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Confirmation</w:t>
      </w:r>
      <w:r>
        <w:rPr>
          <w:rFonts w:ascii="Times New Roman" w:cs="Times New Roman" w:eastAsia="Times New Roman" w:hAnsi="Times New Roman"/>
          <w:sz w:val="18"/>
          <w:szCs w:val="18"/>
          <w:color w:val="auto"/>
        </w:rPr>
        <w:t>”), as is subject to the Master Confirmation specified below. Each party repeats to the other party the representations and warranties set forth in the Master Confirmation and in the Agreement (as defined in the Master Confirmation) (as if the Amendment and Restatement Date, the Second Amendment and Restatement Date and the Third Amendment and Restatement Date were the Trade Date, the date the parties entered into a Transaction and the date of the Master Confirmation). This Third Amended and Restated Supplemental Confirmation is a binding contract between Dealer and Counterparty as of the Third Amendment and Restatement Date for the Transaction referenced below.</w:t>
      </w:r>
    </w:p>
    <w:p>
      <w:pPr>
        <w:spacing w:after="0" w:line="194" w:lineRule="exact"/>
        <w:rPr>
          <w:sz w:val="20"/>
          <w:szCs w:val="20"/>
          <w:color w:val="auto"/>
        </w:rPr>
      </w:pPr>
    </w:p>
    <w:p>
      <w:pPr>
        <w:jc w:val="both"/>
        <w:ind w:firstLine="656"/>
        <w:spacing w:after="0" w:line="258" w:lineRule="auto"/>
        <w:tabs>
          <w:tab w:leader="none" w:pos="13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Amended and Restated Supplemental Confirmation supplements, forms part of, and is subject to the Master Terms and Conditions for Prepaid Variable Share Forward Transactions dated as of May 19, 2020 between Dealer and Counterparty (as amended and supplemented from time to time, the “</w:t>
      </w:r>
      <w:r>
        <w:rPr>
          <w:rFonts w:ascii="Times New Roman" w:cs="Times New Roman" w:eastAsia="Times New Roman" w:hAnsi="Times New Roman"/>
          <w:sz w:val="18"/>
          <w:szCs w:val="18"/>
          <w:u w:val="single" w:color="auto"/>
          <w:color w:val="auto"/>
        </w:rPr>
        <w:t>Master Confirmation</w:t>
      </w:r>
      <w:r>
        <w:rPr>
          <w:rFonts w:ascii="Times New Roman" w:cs="Times New Roman" w:eastAsia="Times New Roman" w:hAnsi="Times New Roman"/>
          <w:sz w:val="18"/>
          <w:szCs w:val="18"/>
          <w:color w:val="auto"/>
        </w:rPr>
        <w:t>”). All provisions contained in the Agreement (as modified and as defined in the Master Confirmation) shall govern this Third Amended and Restated Supplemental Confirmation, except as expressly modified below, and capitalized terms used but not defined herein shall have the meanings specified in the Master Confirmation.</w:t>
      </w:r>
    </w:p>
    <w:p>
      <w:pPr>
        <w:spacing w:after="0" w:line="183"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to which this Third Amended and Restated Supplemental Confirmation relates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7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May 19, 2020</w:t>
            </w: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Amendment and Restatement Date:</w:t>
            </w:r>
          </w:p>
        </w:tc>
        <w:tc>
          <w:tcPr>
            <w:tcW w:w="77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November 24, 2021</w:t>
            </w: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and Restatement Date:</w:t>
            </w:r>
          </w:p>
        </w:tc>
        <w:tc>
          <w:tcPr>
            <w:tcW w:w="77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November 22, 2023</w:t>
            </w: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Third Amendment and Restatement Date:</w:t>
            </w:r>
          </w:p>
        </w:tc>
        <w:tc>
          <w:tcPr>
            <w:tcW w:w="77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May 22, 2025</w:t>
            </w: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Prepayment Amount:</w:t>
            </w:r>
          </w:p>
        </w:tc>
        <w:tc>
          <w:tcPr>
            <w:tcW w:w="77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USD 44,957,909.41</w:t>
            </w:r>
          </w:p>
        </w:tc>
      </w:tr>
      <w:tr>
        <w:trPr>
          <w:trHeight w:val="27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Prepayment Date:</w:t>
            </w:r>
          </w:p>
        </w:tc>
        <w:tc>
          <w:tcPr>
            <w:tcW w:w="77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The first Currency Business Day on which all of the conditions specified in Section 4 of the Master</w:t>
            </w:r>
          </w:p>
        </w:tc>
      </w:tr>
      <w:tr>
        <w:trPr>
          <w:trHeight w:val="216"/>
        </w:trPr>
        <w:tc>
          <w:tcPr>
            <w:tcW w:w="3520" w:type="dxa"/>
            <w:vAlign w:val="bottom"/>
          </w:tcPr>
          <w:p>
            <w:pPr>
              <w:spacing w:after="0"/>
              <w:rPr>
                <w:sz w:val="18"/>
                <w:szCs w:val="18"/>
                <w:color w:val="auto"/>
              </w:rPr>
            </w:pPr>
          </w:p>
        </w:tc>
        <w:tc>
          <w:tcPr>
            <w:tcW w:w="77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Confirmation are satisfied or waived by Dealer and Counterparty satisfied its obligations under</w:t>
            </w:r>
          </w:p>
        </w:tc>
      </w:tr>
      <w:tr>
        <w:trPr>
          <w:trHeight w:val="194"/>
        </w:trPr>
        <w:tc>
          <w:tcPr>
            <w:tcW w:w="3520" w:type="dxa"/>
            <w:vAlign w:val="bottom"/>
          </w:tcPr>
          <w:p>
            <w:pPr>
              <w:spacing w:after="0"/>
              <w:rPr>
                <w:sz w:val="16"/>
                <w:szCs w:val="16"/>
                <w:color w:val="auto"/>
              </w:rPr>
            </w:pPr>
          </w:p>
        </w:tc>
        <w:tc>
          <w:tcPr>
            <w:tcW w:w="7720" w:type="dxa"/>
            <w:vAlign w:val="bottom"/>
            <w:gridSpan w:val="3"/>
          </w:tcPr>
          <w:p>
            <w:pPr>
              <w:ind w:left="380"/>
              <w:spacing w:after="0" w:line="194" w:lineRule="exact"/>
              <w:rPr>
                <w:sz w:val="20"/>
                <w:szCs w:val="20"/>
                <w:color w:val="auto"/>
              </w:rPr>
            </w:pPr>
            <w:r>
              <w:rPr>
                <w:rFonts w:ascii="Times New Roman" w:cs="Times New Roman" w:eastAsia="Times New Roman" w:hAnsi="Times New Roman"/>
                <w:sz w:val="18"/>
                <w:szCs w:val="18"/>
                <w:color w:val="auto"/>
              </w:rPr>
              <w:t>Section 6(d) of the Master Confirmation; provided that, if such conditions are first all satisfied or</w:t>
            </w:r>
          </w:p>
        </w:tc>
      </w:tr>
      <w:tr>
        <w:trPr>
          <w:trHeight w:val="20"/>
        </w:trPr>
        <w:tc>
          <w:tcPr>
            <w:tcW w:w="3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18"/>
        </w:trPr>
        <w:tc>
          <w:tcPr>
            <w:tcW w:w="3520" w:type="dxa"/>
            <w:vAlign w:val="bottom"/>
          </w:tcPr>
          <w:p>
            <w:pPr>
              <w:spacing w:after="0"/>
              <w:rPr>
                <w:sz w:val="18"/>
                <w:szCs w:val="18"/>
                <w:color w:val="auto"/>
              </w:rPr>
            </w:pPr>
          </w:p>
        </w:tc>
        <w:tc>
          <w:tcPr>
            <w:tcW w:w="77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waived after 3:00 p.m., New York time, on a Currency Business Day, the Prepayment Date shall be</w:t>
            </w:r>
          </w:p>
        </w:tc>
      </w:tr>
      <w:tr>
        <w:trPr>
          <w:trHeight w:val="234"/>
        </w:trPr>
        <w:tc>
          <w:tcPr>
            <w:tcW w:w="3520" w:type="dxa"/>
            <w:vAlign w:val="bottom"/>
          </w:tcPr>
          <w:p>
            <w:pPr>
              <w:spacing w:after="0"/>
              <w:rPr>
                <w:sz w:val="20"/>
                <w:szCs w:val="20"/>
                <w:color w:val="auto"/>
              </w:rPr>
            </w:pPr>
          </w:p>
        </w:tc>
        <w:tc>
          <w:tcPr>
            <w:tcW w:w="77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the next following Currency Business Day.</w:t>
            </w:r>
          </w:p>
        </w:tc>
      </w:tr>
      <w:tr>
        <w:trPr>
          <w:trHeight w:val="526"/>
        </w:trPr>
        <w:tc>
          <w:tcPr>
            <w:tcW w:w="35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First Amendment Payment Amount:</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USD 2,100,000.00. Dealer agrees to pay Counterparty the First Amendment Payment Amount on the First Amendment Payment Date. For the avoidance of doubt, the First Amendment Payment Amount shall be netted against Counterparty’s obligations to pay Dealer the (i) “First Amendment Prepayment Amount” under the Transaction under the Master Confirmation, with a “Trade Date” of March 9, 2021 and an “Amendment and Restatement Date” that falls on the Amendment and Restatement Date and (ii) “Second Amendment Payment Amount” under the Transaction under the Master Confirmation, with a “Trade Date” of May 26, 2020 and a “Second Amendment and Restatement Date” that falls on the Amendment and Restatement Date.</w:t>
      </w:r>
    </w:p>
    <w:p>
      <w:pPr>
        <w:spacing w:after="0" w:line="57" w:lineRule="exact"/>
        <w:rPr>
          <w:sz w:val="20"/>
          <w:szCs w:val="20"/>
          <w:color w:val="auto"/>
        </w:rPr>
      </w:pPr>
    </w:p>
    <w:p>
      <w:pPr>
        <w:sectPr>
          <w:pgSz w:w="11900" w:h="16838" w:orient="portrait"/>
          <w:cols w:equalWidth="0" w:num="2">
            <w:col w:w="3180" w:space="720"/>
            <w:col w:w="7340"/>
          </w:cols>
          <w:pgMar w:left="320" w:top="75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First Amendment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second Currency Business Day following the Amendment and Restatement Date.</w:t>
      </w:r>
    </w:p>
    <w:p>
      <w:pPr>
        <w:spacing w:after="0" w:line="101" w:lineRule="exact"/>
        <w:rPr>
          <w:sz w:val="20"/>
          <w:szCs w:val="20"/>
          <w:color w:val="auto"/>
        </w:rPr>
      </w:pPr>
    </w:p>
    <w:p>
      <w:pPr>
        <w:sectPr>
          <w:pgSz w:w="11900" w:h="16838" w:orient="portrait"/>
          <w:cols w:equalWidth="0" w:num="2">
            <w:col w:w="3180" w:space="720"/>
            <w:col w:w="7340"/>
          </w:cols>
          <w:pgMar w:left="320" w:top="7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Second Amendment Payment Amount: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USD 6,296,838. Counterparty agrees to pay Dealer the Second Amendment Payment Amount on the Second Amendment Payment Date.</w:t>
      </w:r>
    </w:p>
    <w:p>
      <w:pPr>
        <w:spacing w:after="0" w:line="27" w:lineRule="exact"/>
        <w:rPr>
          <w:sz w:val="20"/>
          <w:szCs w:val="20"/>
          <w:color w:val="auto"/>
        </w:rPr>
      </w:pPr>
    </w:p>
    <w:p>
      <w:pPr>
        <w:sectPr>
          <w:pgSz w:w="11900" w:h="16838" w:orient="portrait"/>
          <w:cols w:equalWidth="0" w:num="2">
            <w:col w:w="3180" w:space="720"/>
            <w:col w:w="7340"/>
          </w:cols>
          <w:pgMar w:left="320" w:top="7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Second Amendment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second Currency Business Day following the Second Amendment and Restatement Date.</w:t>
      </w:r>
    </w:p>
    <w:p>
      <w:pPr>
        <w:spacing w:after="0" w:line="90" w:lineRule="exact"/>
        <w:rPr>
          <w:sz w:val="20"/>
          <w:szCs w:val="20"/>
          <w:color w:val="auto"/>
        </w:rPr>
      </w:pPr>
    </w:p>
    <w:p>
      <w:pPr>
        <w:sectPr>
          <w:pgSz w:w="11900" w:h="16838" w:orient="portrait"/>
          <w:cols w:equalWidth="0" w:num="2">
            <w:col w:w="3180" w:space="720"/>
            <w:col w:w="7340"/>
          </w:cols>
          <w:pgMar w:left="320" w:top="7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Third Amendment Payment Amount: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USD 4,828,795. Counterparty agrees to pay Dealer the Third Amendment Payment Amount on the Third Amendment Payment Date.</w:t>
      </w:r>
    </w:p>
    <w:p>
      <w:pPr>
        <w:spacing w:after="0" w:line="27" w:lineRule="exact"/>
        <w:rPr>
          <w:sz w:val="20"/>
          <w:szCs w:val="20"/>
          <w:color w:val="auto"/>
        </w:rPr>
      </w:pPr>
    </w:p>
    <w:p>
      <w:pPr>
        <w:sectPr>
          <w:pgSz w:w="11900" w:h="16838" w:orient="portrait"/>
          <w:cols w:equalWidth="0" w:num="2">
            <w:col w:w="3180" w:space="720"/>
            <w:col w:w="7340"/>
          </w:cols>
          <w:pgMar w:left="320" w:top="7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Third Amendment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second Currency Business Day following the Third Amendment and Restatement Date.</w:t>
      </w:r>
    </w:p>
    <w:p>
      <w:pPr>
        <w:spacing w:after="0" w:line="101" w:lineRule="exact"/>
        <w:rPr>
          <w:sz w:val="20"/>
          <w:szCs w:val="20"/>
          <w:color w:val="auto"/>
        </w:rPr>
      </w:pPr>
    </w:p>
    <w:p>
      <w:pPr>
        <w:sectPr>
          <w:pgSz w:w="11900" w:h="16838" w:orient="portrait"/>
          <w:cols w:equalWidth="0" w:num="2">
            <w:col w:w="3180" w:space="720"/>
            <w:col w:w="7340"/>
          </w:cols>
          <w:pgMar w:left="320" w:top="7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Third Amendment Reference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USD 104.9200</w:t>
      </w:r>
    </w:p>
    <w:p>
      <w:pPr>
        <w:spacing w:after="0" w:line="101" w:lineRule="exact"/>
        <w:rPr>
          <w:sz w:val="20"/>
          <w:szCs w:val="20"/>
          <w:color w:val="auto"/>
        </w:rPr>
      </w:pPr>
    </w:p>
    <w:p>
      <w:pPr>
        <w:sectPr>
          <w:pgSz w:w="11900" w:h="16838" w:orient="portrait"/>
          <w:cols w:equalWidth="0" w:num="2">
            <w:col w:w="3180" w:space="720"/>
            <w:col w:w="7340"/>
          </w:cols>
          <w:pgMar w:left="320" w:top="7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Forward Floor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USD 104.9200</w:t>
      </w:r>
    </w:p>
    <w:p>
      <w:pPr>
        <w:spacing w:after="0" w:line="101" w:lineRule="exact"/>
        <w:rPr>
          <w:sz w:val="20"/>
          <w:szCs w:val="20"/>
          <w:color w:val="auto"/>
        </w:rPr>
      </w:pPr>
    </w:p>
    <w:p>
      <w:pPr>
        <w:sectPr>
          <w:pgSz w:w="11900" w:h="16838" w:orient="portrait"/>
          <w:cols w:equalWidth="0" w:num="2">
            <w:col w:w="3180" w:space="720"/>
            <w:col w:w="7340"/>
          </w:cols>
          <w:pgMar w:left="320" w:top="7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Forward Cap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USD 115.4120</w:t>
      </w:r>
    </w:p>
    <w:p>
      <w:pPr>
        <w:spacing w:after="0" w:line="101" w:lineRule="exact"/>
        <w:rPr>
          <w:sz w:val="20"/>
          <w:szCs w:val="20"/>
          <w:color w:val="auto"/>
        </w:rPr>
      </w:pPr>
    </w:p>
    <w:p>
      <w:pPr>
        <w:sectPr>
          <w:pgSz w:w="11900" w:h="16838" w:orient="portrait"/>
          <w:cols w:equalWidth="0" w:num="2">
            <w:col w:w="3180" w:space="720"/>
            <w:col w:w="7340"/>
          </w:cols>
          <w:pgMar w:left="320" w:top="7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Final Disruption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August 23, 2027</w:t>
      </w:r>
    </w:p>
    <w:p>
      <w:pPr>
        <w:spacing w:after="0" w:line="90" w:lineRule="exact"/>
        <w:rPr>
          <w:sz w:val="20"/>
          <w:szCs w:val="20"/>
          <w:color w:val="auto"/>
        </w:rPr>
      </w:pPr>
    </w:p>
    <w:p>
      <w:pPr>
        <w:sectPr>
          <w:pgSz w:w="11900" w:h="16838" w:orient="portrait"/>
          <w:cols w:equalWidth="0" w:num="2">
            <w:col w:w="3180" w:space="720"/>
            <w:col w:w="7340"/>
          </w:cols>
          <w:pgMar w:left="320" w:top="7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Contractual 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USD 0.485 per quarter</w:t>
      </w:r>
    </w:p>
    <w:p>
      <w:pPr>
        <w:spacing w:after="0" w:line="211" w:lineRule="exact"/>
        <w:rPr>
          <w:sz w:val="20"/>
          <w:szCs w:val="20"/>
          <w:color w:val="auto"/>
        </w:rPr>
      </w:pPr>
    </w:p>
    <w:p>
      <w:pPr>
        <w:sectPr>
          <w:pgSz w:w="11900" w:h="16838" w:orient="portrait"/>
          <w:cols w:equalWidth="0" w:num="2">
            <w:col w:w="3180" w:space="720"/>
            <w:col w:w="7340"/>
          </w:cols>
          <w:pgMar w:left="320" w:top="756"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Component of the Transaction, the Number of Shares and the Scheduled Valuation Date are as set forth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980" w:type="dxa"/>
            <w:vAlign w:val="bottom"/>
          </w:tcPr>
          <w:p>
            <w:pPr>
              <w:spacing w:after="0"/>
              <w:rPr>
                <w:sz w:val="24"/>
                <w:szCs w:val="24"/>
                <w:color w:val="auto"/>
              </w:rPr>
            </w:pPr>
          </w:p>
        </w:tc>
        <w:tc>
          <w:tcPr>
            <w:tcW w:w="21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Component Number</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Scheduled Valuation Date</w:t>
            </w:r>
          </w:p>
        </w:tc>
        <w:tc>
          <w:tcPr>
            <w:tcW w:w="1980" w:type="dxa"/>
            <w:vAlign w:val="bottom"/>
          </w:tcPr>
          <w:p>
            <w:pPr>
              <w:spacing w:after="0"/>
              <w:rPr>
                <w:sz w:val="24"/>
                <w:szCs w:val="24"/>
                <w:color w:val="auto"/>
              </w:rPr>
            </w:pPr>
          </w:p>
        </w:tc>
      </w:tr>
      <w:tr>
        <w:trPr>
          <w:trHeight w:val="318"/>
        </w:trPr>
        <w:tc>
          <w:tcPr>
            <w:tcW w:w="1980" w:type="dxa"/>
            <w:vAlign w:val="bottom"/>
          </w:tcPr>
          <w:p>
            <w:pPr>
              <w:spacing w:after="0"/>
              <w:rPr>
                <w:sz w:val="24"/>
                <w:szCs w:val="24"/>
                <w:color w:val="auto"/>
              </w:rPr>
            </w:pPr>
          </w:p>
        </w:tc>
        <w:tc>
          <w:tcPr>
            <w:tcW w:w="21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06/01/2027</w:t>
            </w:r>
          </w:p>
        </w:tc>
        <w:tc>
          <w:tcPr>
            <w:tcW w:w="1980" w:type="dxa"/>
            <w:vAlign w:val="bottom"/>
          </w:tcPr>
          <w:p>
            <w:pPr>
              <w:spacing w:after="0"/>
              <w:rPr>
                <w:sz w:val="24"/>
                <w:szCs w:val="24"/>
                <w:color w:val="auto"/>
              </w:rPr>
            </w:pPr>
          </w:p>
        </w:tc>
      </w:tr>
      <w:tr>
        <w:trPr>
          <w:trHeight w:val="324"/>
        </w:trPr>
        <w:tc>
          <w:tcPr>
            <w:tcW w:w="1980" w:type="dxa"/>
            <w:vAlign w:val="bottom"/>
          </w:tcPr>
          <w:p>
            <w:pPr>
              <w:spacing w:after="0"/>
              <w:rPr>
                <w:sz w:val="24"/>
                <w:szCs w:val="24"/>
                <w:color w:val="auto"/>
              </w:rPr>
            </w:pPr>
          </w:p>
        </w:tc>
        <w:tc>
          <w:tcPr>
            <w:tcW w:w="21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06/02/2027</w:t>
            </w:r>
          </w:p>
        </w:tc>
        <w:tc>
          <w:tcPr>
            <w:tcW w:w="1980" w:type="dxa"/>
            <w:vAlign w:val="bottom"/>
          </w:tcPr>
          <w:p>
            <w:pPr>
              <w:spacing w:after="0"/>
              <w:rPr>
                <w:sz w:val="24"/>
                <w:szCs w:val="24"/>
                <w:color w:val="auto"/>
              </w:rPr>
            </w:pPr>
          </w:p>
        </w:tc>
      </w:tr>
      <w:tr>
        <w:trPr>
          <w:trHeight w:val="324"/>
        </w:trPr>
        <w:tc>
          <w:tcPr>
            <w:tcW w:w="1980" w:type="dxa"/>
            <w:vAlign w:val="bottom"/>
          </w:tcPr>
          <w:p>
            <w:pPr>
              <w:spacing w:after="0"/>
              <w:rPr>
                <w:sz w:val="24"/>
                <w:szCs w:val="24"/>
                <w:color w:val="auto"/>
              </w:rPr>
            </w:pPr>
          </w:p>
        </w:tc>
        <w:tc>
          <w:tcPr>
            <w:tcW w:w="21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06/03/2027</w:t>
            </w:r>
          </w:p>
        </w:tc>
        <w:tc>
          <w:tcPr>
            <w:tcW w:w="1980" w:type="dxa"/>
            <w:vAlign w:val="bottom"/>
          </w:tcPr>
          <w:p>
            <w:pPr>
              <w:spacing w:after="0"/>
              <w:rPr>
                <w:sz w:val="24"/>
                <w:szCs w:val="24"/>
                <w:color w:val="auto"/>
              </w:rPr>
            </w:pPr>
          </w:p>
        </w:tc>
      </w:tr>
      <w:tr>
        <w:trPr>
          <w:trHeight w:val="324"/>
        </w:trPr>
        <w:tc>
          <w:tcPr>
            <w:tcW w:w="1980" w:type="dxa"/>
            <w:vAlign w:val="bottom"/>
          </w:tcPr>
          <w:p>
            <w:pPr>
              <w:spacing w:after="0"/>
              <w:rPr>
                <w:sz w:val="24"/>
                <w:szCs w:val="24"/>
                <w:color w:val="auto"/>
              </w:rPr>
            </w:pPr>
          </w:p>
        </w:tc>
        <w:tc>
          <w:tcPr>
            <w:tcW w:w="21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4</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06/04/2027</w:t>
            </w:r>
          </w:p>
        </w:tc>
        <w:tc>
          <w:tcPr>
            <w:tcW w:w="1980" w:type="dxa"/>
            <w:vAlign w:val="bottom"/>
          </w:tcPr>
          <w:p>
            <w:pPr>
              <w:spacing w:after="0"/>
              <w:rPr>
                <w:sz w:val="24"/>
                <w:szCs w:val="24"/>
                <w:color w:val="auto"/>
              </w:rPr>
            </w:pPr>
          </w:p>
        </w:tc>
      </w:tr>
      <w:tr>
        <w:trPr>
          <w:trHeight w:val="324"/>
        </w:trPr>
        <w:tc>
          <w:tcPr>
            <w:tcW w:w="1980" w:type="dxa"/>
            <w:vAlign w:val="bottom"/>
          </w:tcPr>
          <w:p>
            <w:pPr>
              <w:spacing w:after="0"/>
              <w:rPr>
                <w:sz w:val="24"/>
                <w:szCs w:val="24"/>
                <w:color w:val="auto"/>
              </w:rPr>
            </w:pPr>
          </w:p>
        </w:tc>
        <w:tc>
          <w:tcPr>
            <w:tcW w:w="21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06/07/2027</w:t>
            </w:r>
          </w:p>
        </w:tc>
        <w:tc>
          <w:tcPr>
            <w:tcW w:w="1980" w:type="dxa"/>
            <w:vAlign w:val="bottom"/>
          </w:tcPr>
          <w:p>
            <w:pPr>
              <w:spacing w:after="0"/>
              <w:rPr>
                <w:sz w:val="24"/>
                <w:szCs w:val="24"/>
                <w:color w:val="auto"/>
              </w:rPr>
            </w:pPr>
          </w:p>
        </w:tc>
      </w:tr>
      <w:tr>
        <w:trPr>
          <w:trHeight w:val="324"/>
        </w:trPr>
        <w:tc>
          <w:tcPr>
            <w:tcW w:w="1980" w:type="dxa"/>
            <w:vAlign w:val="bottom"/>
          </w:tcPr>
          <w:p>
            <w:pPr>
              <w:spacing w:after="0"/>
              <w:rPr>
                <w:sz w:val="24"/>
                <w:szCs w:val="24"/>
                <w:color w:val="auto"/>
              </w:rPr>
            </w:pPr>
          </w:p>
        </w:tc>
        <w:tc>
          <w:tcPr>
            <w:tcW w:w="21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6</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06/08/2027</w:t>
            </w:r>
          </w:p>
        </w:tc>
        <w:tc>
          <w:tcPr>
            <w:tcW w:w="1980" w:type="dxa"/>
            <w:vAlign w:val="bottom"/>
          </w:tcPr>
          <w:p>
            <w:pPr>
              <w:spacing w:after="0"/>
              <w:rPr>
                <w:sz w:val="24"/>
                <w:szCs w:val="24"/>
                <w:color w:val="auto"/>
              </w:rPr>
            </w:pPr>
          </w:p>
        </w:tc>
      </w:tr>
      <w:tr>
        <w:trPr>
          <w:trHeight w:val="324"/>
        </w:trPr>
        <w:tc>
          <w:tcPr>
            <w:tcW w:w="1980" w:type="dxa"/>
            <w:vAlign w:val="bottom"/>
          </w:tcPr>
          <w:p>
            <w:pPr>
              <w:spacing w:after="0"/>
              <w:rPr>
                <w:sz w:val="24"/>
                <w:szCs w:val="24"/>
                <w:color w:val="auto"/>
              </w:rPr>
            </w:pPr>
          </w:p>
        </w:tc>
        <w:tc>
          <w:tcPr>
            <w:tcW w:w="21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7</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06/09/2027</w:t>
            </w:r>
          </w:p>
        </w:tc>
        <w:tc>
          <w:tcPr>
            <w:tcW w:w="1980" w:type="dxa"/>
            <w:vAlign w:val="bottom"/>
          </w:tcPr>
          <w:p>
            <w:pPr>
              <w:spacing w:after="0"/>
              <w:rPr>
                <w:sz w:val="24"/>
                <w:szCs w:val="24"/>
                <w:color w:val="auto"/>
              </w:rPr>
            </w:pPr>
          </w:p>
        </w:tc>
      </w:tr>
      <w:tr>
        <w:trPr>
          <w:trHeight w:val="324"/>
        </w:trPr>
        <w:tc>
          <w:tcPr>
            <w:tcW w:w="1980" w:type="dxa"/>
            <w:vAlign w:val="bottom"/>
          </w:tcPr>
          <w:p>
            <w:pPr>
              <w:spacing w:after="0"/>
              <w:rPr>
                <w:sz w:val="24"/>
                <w:szCs w:val="24"/>
                <w:color w:val="auto"/>
              </w:rPr>
            </w:pPr>
          </w:p>
        </w:tc>
        <w:tc>
          <w:tcPr>
            <w:tcW w:w="21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8</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06/10/2027</w:t>
            </w:r>
          </w:p>
        </w:tc>
        <w:tc>
          <w:tcPr>
            <w:tcW w:w="1980" w:type="dxa"/>
            <w:vAlign w:val="bottom"/>
          </w:tcPr>
          <w:p>
            <w:pPr>
              <w:spacing w:after="0"/>
              <w:rPr>
                <w:sz w:val="24"/>
                <w:szCs w:val="24"/>
                <w:color w:val="auto"/>
              </w:rPr>
            </w:pPr>
          </w:p>
        </w:tc>
      </w:tr>
      <w:tr>
        <w:trPr>
          <w:trHeight w:val="324"/>
        </w:trPr>
        <w:tc>
          <w:tcPr>
            <w:tcW w:w="1980" w:type="dxa"/>
            <w:vAlign w:val="bottom"/>
          </w:tcPr>
          <w:p>
            <w:pPr>
              <w:spacing w:after="0"/>
              <w:rPr>
                <w:sz w:val="24"/>
                <w:szCs w:val="24"/>
                <w:color w:val="auto"/>
              </w:rPr>
            </w:pPr>
          </w:p>
        </w:tc>
        <w:tc>
          <w:tcPr>
            <w:tcW w:w="21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9</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06/11/2027</w:t>
            </w:r>
          </w:p>
        </w:tc>
        <w:tc>
          <w:tcPr>
            <w:tcW w:w="1980" w:type="dxa"/>
            <w:vAlign w:val="bottom"/>
          </w:tcPr>
          <w:p>
            <w:pPr>
              <w:spacing w:after="0"/>
              <w:rPr>
                <w:sz w:val="24"/>
                <w:szCs w:val="24"/>
                <w:color w:val="auto"/>
              </w:rPr>
            </w:pPr>
          </w:p>
        </w:tc>
      </w:tr>
      <w:tr>
        <w:trPr>
          <w:trHeight w:val="324"/>
        </w:trPr>
        <w:tc>
          <w:tcPr>
            <w:tcW w:w="1980" w:type="dxa"/>
            <w:vAlign w:val="bottom"/>
          </w:tcPr>
          <w:p>
            <w:pPr>
              <w:spacing w:after="0"/>
              <w:rPr>
                <w:sz w:val="24"/>
                <w:szCs w:val="24"/>
                <w:color w:val="auto"/>
              </w:rPr>
            </w:pPr>
          </w:p>
        </w:tc>
        <w:tc>
          <w:tcPr>
            <w:tcW w:w="214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10</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06/14/2027</w:t>
            </w:r>
          </w:p>
        </w:tc>
        <w:tc>
          <w:tcPr>
            <w:tcW w:w="1980" w:type="dxa"/>
            <w:vAlign w:val="bottom"/>
          </w:tcPr>
          <w:p>
            <w:pPr>
              <w:spacing w:after="0"/>
              <w:rPr>
                <w:sz w:val="24"/>
                <w:szCs w:val="24"/>
                <w:color w:val="auto"/>
              </w:rPr>
            </w:pPr>
          </w:p>
        </w:tc>
      </w:tr>
      <w:tr>
        <w:trPr>
          <w:trHeight w:val="486"/>
        </w:trPr>
        <w:tc>
          <w:tcPr>
            <w:tcW w:w="19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6" w:right="339" w:bottom="144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11</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06/15/2027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12</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06/16/2027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13</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06/17/2027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14</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06/21/2027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15</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06/22/2027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16</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06/23/2027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17</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06/24/2027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18</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06/25/2027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19</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06/28/2027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06/29/2027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21</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06/30/2027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22</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07/01/2027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23</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07/02/2027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24</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07/06/2027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25</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07/07/2027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26</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07/08/2027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27</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07/09/2027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28</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07/12/2027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29</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07/13/2027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30</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07/14/2027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31</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07/15/2027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32</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07/16/2027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33</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07/19/2027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34</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07/20/2027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35</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07/21/2027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36</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07/22/2027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37</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07/23/2027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38</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07/26/2027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39</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07/27/2027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40</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07/28/2027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41</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07/29/2027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42</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07/30/2027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43</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08/02/2027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44</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08/03/2027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45</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08/04/2027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46</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08/05/2027</w:t>
            </w:r>
          </w:p>
        </w:tc>
      </w:tr>
      <w:tr>
        <w:trPr>
          <w:trHeight w:val="324"/>
        </w:trPr>
        <w:tc>
          <w:tcPr>
            <w:tcW w:w="412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47</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50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08/06/2027</w:t>
            </w:r>
          </w:p>
        </w:tc>
      </w:tr>
      <w:tr>
        <w:trPr>
          <w:trHeight w:val="486"/>
        </w:trPr>
        <w:tc>
          <w:tcPr>
            <w:tcW w:w="4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33" w:right="339" w:bottom="1440" w:gutter="0" w:footer="0" w:header="0"/>
        </w:sectPr>
      </w:pPr>
    </w:p>
    <w:bookmarkStart w:id="9" w:name="page10"/>
    <w:bookmarkEnd w:id="9"/>
    <w:p>
      <w:pPr>
        <w:spacing w:after="0" w:line="1" w:lineRule="exact"/>
        <w:rPr>
          <w:sz w:val="20"/>
          <w:szCs w:val="20"/>
          <w:color w:val="auto"/>
        </w:rPr>
      </w:pPr>
    </w:p>
    <w:tbl>
      <w:tblPr>
        <w:tblLayout w:type="fixed"/>
        <w:tblInd w:w="3040" w:type="dxa"/>
        <w:tblCellMar>
          <w:top w:w="0" w:type="dxa"/>
          <w:left w:w="0" w:type="dxa"/>
          <w:bottom w:w="0" w:type="dxa"/>
          <w:right w:w="0" w:type="dxa"/>
        </w:tblCellMar>
      </w:tblPr>
      <w:tr>
        <w:trPr>
          <w:trHeight w:val="324"/>
        </w:trPr>
        <w:tc>
          <w:tcPr>
            <w:tcW w:w="108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48</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08/09/2027</w:t>
            </w:r>
          </w:p>
        </w:tc>
      </w:tr>
      <w:tr>
        <w:trPr>
          <w:trHeight w:val="324"/>
        </w:trPr>
        <w:tc>
          <w:tcPr>
            <w:tcW w:w="108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49</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08/10/2027</w:t>
            </w:r>
          </w:p>
        </w:tc>
      </w:tr>
      <w:tr>
        <w:trPr>
          <w:trHeight w:val="324"/>
        </w:trPr>
        <w:tc>
          <w:tcPr>
            <w:tcW w:w="108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50</w:t>
            </w:r>
          </w:p>
        </w:tc>
        <w:tc>
          <w:tcPr>
            <w:tcW w:w="212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08/11/2027</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Dealer represents, warrants and covenants to Counterparty that any and all sales of Shares in connection with establishing Dealer’s initial Hedge Positions with respect to the Original Transaction have been made in compliance with and in accordance with the manner-of-sale conditions described in Rule 144(f) and (g) under the Securities Act (as interpreted by the Interpretive Letters).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Counterparty represents, warrants and covenants to Dealer that it is entering into this Third Amended and Restated Supplemental Confirmation in good faith and not as part of a plan or scheme to evade the prohibitions of Rule 10b-5 under the Exchange Act or any other antifraud or anti-manipulation provisions of the federal or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Counterparty hereby agrees (a) to check this Third Amended and Restated Supplemental Confirmation carefully and immediately upon receipt so that errors or discrepancies can be promptly identified and rectified and (b) to confirm that the foregoing correctly sets forth the terms of the agreement between us with respect to the particular Transaction to which this Third Amended and Restated Supplemental Confirmation relates by manually signing this Third Amended and Restated Supplemental Confirmation and providing any other information requested herein or in the Master Confirmation and immediately sending a facsimile transmission of an executed copy to us.</w:t>
      </w:r>
    </w:p>
    <w:p>
      <w:pPr>
        <w:spacing w:after="0" w:line="39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tbl>
      <w:tblPr>
        <w:tblLayout w:type="fixed"/>
        <w:tblInd w:w="6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Eric Natelson</w:t>
            </w:r>
          </w:p>
        </w:tc>
      </w:tr>
      <w:tr>
        <w:trPr>
          <w:trHeight w:val="228"/>
        </w:trPr>
        <w:tc>
          <w:tcPr>
            <w:tcW w:w="5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QH HUNGARY HOLDINGS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Kelleher</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Mr. Michael Kelleher</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A&amp;R Supplemental Confirmation No. 1 (Citi)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3"/>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6"/>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5"/>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2025-05-27T16:17:21Z</dcterms:created>
  <dcterms:modified xsi:type="dcterms:W3CDTF">2025-05-27T16:17:21Z</dcterms:modified>
</cp:coreProperties>
</file>