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3266.xml.htm"/>
      <w:bookmarkStart w:id="1" w:name="kswkform4_1780433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West Fay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10400 CLEAN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MAIL DROP 5E-406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55344-2650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6"/>
        <w:gridCol w:w="918"/>
        <w:gridCol w:w="786"/>
        <w:gridCol w:w="610"/>
        <w:gridCol w:w="350"/>
        <w:gridCol w:w="846"/>
        <w:gridCol w:w="450"/>
        <w:gridCol w:w="616"/>
        <w:gridCol w:w="1163"/>
        <w:gridCol w:w="999"/>
        <w:gridCol w:w="11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Douglas West Revocable Trust</w:t>
            </w:r>
          </w:p>
        </w:tc>
      </w:tr>
    </w:tbl>
    <w:tbl>
      <w:tblPr>
        <w:tblW w:w="1228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51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975</w:t>
            </w:r>
            <w:r>
              <w:rPr>
                <w:rFonts w:ascii="Times;serif" w:hAnsi="Times;serif"/>
                <w:color w:val="008000"/>
                <w:position w:val="7"/>
                <w:sz w:val="16"/>
                <w:sz w:val="20"/>
                <w:shd w:fill="FFFFFF" w:val="clear"/>
              </w:rPr>
              <w:t>(5)</w:t>
            </w:r>
            <w:r>
              <w:rPr/>
              <w:t xml:space="preserve"> </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Settlement of dividend equivalent rights in connection with vesting of restricted stock unit. The rights accrued when and as dividends were paid on KWR common stock. Each dividend equivalent right was the economic equivalent of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 2025, the reporting person was granted time-based restricted stock units that vested 100% on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vest 100% on May 31, 2027. Dividend equivalent rights accrue with respect to these restricted stock units when and as dividends are paid to KWR's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Victoria K. Gehris, Attorney-in-Fact for Fay West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4598"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4124</Characters>
  <CharactersWithSpaces>4792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