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3"/>
        </w:trPr>
        <w:tc>
          <w:tcPr>
            <w:tcW w:w="2000" w:type="dxa"/>
            <w:vAlign w:val="bottom"/>
          </w:tcPr>
          <w:p>
            <w:pPr>
              <w:spacing w:after="0"/>
              <w:rPr>
                <w:sz w:val="20"/>
                <w:szCs w:val="20"/>
                <w:color w:val="auto"/>
              </w:rPr>
            </w:pPr>
            <w:r>
              <w:rPr>
                <w:rFonts w:ascii="Arial" w:cs="Arial" w:eastAsia="Arial" w:hAnsi="Arial"/>
                <w:sz w:val="21"/>
                <w:szCs w:val="21"/>
                <w:color w:val="auto"/>
              </w:rPr>
              <w:t>SEC Form 3</w:t>
            </w:r>
          </w:p>
        </w:tc>
        <w:tc>
          <w:tcPr>
            <w:tcW w:w="7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000" w:type="dxa"/>
            <w:vAlign w:val="bottom"/>
          </w:tcPr>
          <w:p>
            <w:pPr>
              <w:ind w:left="700"/>
              <w:spacing w:after="0"/>
              <w:rPr>
                <w:sz w:val="20"/>
                <w:szCs w:val="20"/>
                <w:color w:val="auto"/>
              </w:rPr>
            </w:pPr>
            <w:r>
              <w:rPr>
                <w:rFonts w:ascii="Arial" w:cs="Arial" w:eastAsia="Arial" w:hAnsi="Arial"/>
                <w:sz w:val="23"/>
                <w:szCs w:val="23"/>
                <w:b w:val="1"/>
                <w:bCs w:val="1"/>
                <w:color w:val="auto"/>
              </w:rPr>
              <w:t>FORM 3</w:t>
            </w:r>
          </w:p>
        </w:tc>
        <w:tc>
          <w:tcPr>
            <w:tcW w:w="7200" w:type="dxa"/>
            <w:vAlign w:val="bottom"/>
          </w:tcPr>
          <w:p>
            <w:pPr>
              <w:jc w:val="center"/>
              <w:ind w:lef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7200" w:type="dxa"/>
            <w:vAlign w:val="bottom"/>
            <w:vMerge w:val="restart"/>
          </w:tcPr>
          <w:p>
            <w:pPr>
              <w:jc w:val="center"/>
              <w:ind w:left="15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00" w:type="dxa"/>
            <w:vAlign w:val="bottom"/>
          </w:tcPr>
          <w:p>
            <w:pPr>
              <w:spacing w:after="0"/>
              <w:rPr>
                <w:sz w:val="8"/>
                <w:szCs w:val="8"/>
                <w:color w:val="auto"/>
              </w:rPr>
            </w:pPr>
          </w:p>
        </w:tc>
        <w:tc>
          <w:tcPr>
            <w:tcW w:w="7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00" w:type="dxa"/>
            <w:vAlign w:val="bottom"/>
          </w:tcPr>
          <w:p>
            <w:pPr>
              <w:spacing w:after="0"/>
              <w:rPr>
                <w:sz w:val="9"/>
                <w:szCs w:val="9"/>
                <w:color w:val="auto"/>
              </w:rPr>
            </w:pPr>
          </w:p>
        </w:tc>
        <w:tc>
          <w:tcPr>
            <w:tcW w:w="7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7200" w:type="dxa"/>
            <w:vAlign w:val="bottom"/>
            <w:vMerge w:val="restart"/>
          </w:tcPr>
          <w:p>
            <w:pPr>
              <w:jc w:val="center"/>
              <w:ind w:left="156"/>
              <w:spacing w:after="0" w:line="187" w:lineRule="exact"/>
              <w:rPr>
                <w:sz w:val="20"/>
                <w:szCs w:val="20"/>
                <w:color w:val="auto"/>
              </w:rPr>
            </w:pPr>
            <w:r>
              <w:rPr>
                <w:rFonts w:ascii="Arial" w:cs="Arial" w:eastAsia="Arial" w:hAnsi="Arial"/>
                <w:sz w:val="21"/>
                <w:szCs w:val="21"/>
                <w:b w:val="1"/>
                <w:bCs w:val="1"/>
                <w:color w:val="auto"/>
                <w:w w:val="97"/>
              </w:rPr>
              <w:t>INITIAL STATEMENT OF BENEFICIAL OWNERSHIP OF SECURITIES</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00" w:type="dxa"/>
            <w:vAlign w:val="bottom"/>
          </w:tcPr>
          <w:p>
            <w:pPr>
              <w:spacing w:after="0"/>
              <w:rPr>
                <w:sz w:val="12"/>
                <w:szCs w:val="12"/>
                <w:color w:val="auto"/>
              </w:rPr>
            </w:pPr>
          </w:p>
        </w:tc>
        <w:tc>
          <w:tcPr>
            <w:tcW w:w="7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0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7200" w:type="dxa"/>
            <w:vAlign w:val="bottom"/>
            <w:vMerge w:val="restart"/>
          </w:tcPr>
          <w:p>
            <w:pPr>
              <w:jc w:val="center"/>
              <w:ind w:lef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00" w:type="dxa"/>
            <w:vAlign w:val="bottom"/>
          </w:tcPr>
          <w:p>
            <w:pPr>
              <w:spacing w:after="0"/>
              <w:rPr>
                <w:sz w:val="3"/>
                <w:szCs w:val="3"/>
                <w:color w:val="auto"/>
              </w:rPr>
            </w:pPr>
          </w:p>
        </w:tc>
        <w:tc>
          <w:tcPr>
            <w:tcW w:w="7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7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7176770</wp:posOffset>
            </wp:positionH>
            <wp:positionV relativeFrom="paragraph">
              <wp:posOffset>-624205</wp:posOffset>
            </wp:positionV>
            <wp:extent cx="57785" cy="637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5830570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7278370" cy="4415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8370" cy="4415155"/>
                    </a:xfrm>
                    <a:prstGeom prst="rect">
                      <a:avLst/>
                    </a:prstGeom>
                    <a:noFill/>
                  </pic:spPr>
                </pic:pic>
              </a:graphicData>
            </a:graphic>
          </wp:anchor>
        </w:drawing>
      </w:r>
    </w:p>
    <w:p>
      <w:pPr>
        <w:sectPr>
          <w:pgSz w:w="11900" w:h="16838" w:orient="portrait"/>
          <w:cols w:equalWidth="0" w:num="1">
            <w:col w:w="11420"/>
          </w:cols>
          <w:pgMar w:left="240" w:top="221" w:right="239" w:bottom="1440" w:gutter="0" w:footer="0" w:header="0"/>
        </w:sectPr>
      </w:pPr>
    </w:p>
    <w:p>
      <w:pPr>
        <w:spacing w:after="0" w:line="106"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1"/>
          <w:szCs w:val="21"/>
          <w:u w:val="single" w:color="auto"/>
          <w:color w:val="0000EE"/>
        </w:rPr>
      </w:pPr>
      <w:hyperlink r:id="rId11">
        <w:r>
          <w:rPr>
            <w:rFonts w:ascii="Arial" w:cs="Arial" w:eastAsia="Arial" w:hAnsi="Arial"/>
            <w:sz w:val="21"/>
            <w:szCs w:val="21"/>
            <w:u w:val="single" w:color="auto"/>
            <w:color w:val="0000EE"/>
          </w:rPr>
          <w:t>CURTIS REX E</w:t>
        </w:r>
      </w:hyperlink>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2" w:hanging="2"/>
        <w:spacing w:after="0" w:line="230"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Date of Event Requiring Statement (Month/Day/Year)</w:t>
      </w:r>
    </w:p>
    <w:p>
      <w:pPr>
        <w:jc w:val="center"/>
        <w:ind w:right="738"/>
        <w:spacing w:after="0"/>
        <w:rPr>
          <w:sz w:val="20"/>
          <w:szCs w:val="20"/>
          <w:color w:val="auto"/>
        </w:rPr>
      </w:pPr>
      <w:r>
        <w:rPr>
          <w:rFonts w:ascii="Arial" w:cs="Arial" w:eastAsia="Arial" w:hAnsi="Arial"/>
          <w:sz w:val="15"/>
          <w:szCs w:val="15"/>
          <w:color w:val="0000FF"/>
        </w:rPr>
        <w:t>01/01/2004</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3.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2">
        <w:r>
          <w:rPr>
            <w:rFonts w:ascii="Arial" w:cs="Arial" w:eastAsia="Arial" w:hAnsi="Arial"/>
            <w:sz w:val="20"/>
            <w:szCs w:val="20"/>
            <w:u w:val="single" w:color="auto"/>
            <w:color w:val="0000EE"/>
          </w:rPr>
          <w:t>QUAKER CHEMICAL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KWR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76" w:lineRule="exact"/>
        <w:rPr>
          <w:sz w:val="24"/>
          <w:szCs w:val="24"/>
          <w:color w:val="auto"/>
        </w:rPr>
      </w:pPr>
    </w:p>
    <w:p>
      <w:pPr>
        <w:sectPr>
          <w:pgSz w:w="11900" w:h="16838" w:orient="portrait"/>
          <w:cols w:equalWidth="0" w:num="3">
            <w:col w:w="2778" w:space="720"/>
            <w:col w:w="1502" w:space="200"/>
            <w:col w:w="6220"/>
          </w:cols>
          <w:pgMar w:left="240" w:top="221" w:right="239" w:bottom="1440" w:gutter="0" w:footer="0" w:header="0"/>
          <w:type w:val="continuous"/>
        </w:sectPr>
      </w:pPr>
    </w:p>
    <w:p>
      <w:pPr>
        <w:spacing w:after="0" w:line="13" w:lineRule="exact"/>
        <w:rPr>
          <w:sz w:val="24"/>
          <w:szCs w:val="24"/>
          <w:color w:val="auto"/>
        </w:rPr>
      </w:pPr>
    </w:p>
    <w:p>
      <w:pPr>
        <w:ind w:left="120"/>
        <w:spacing w:after="0"/>
        <w:tabs>
          <w:tab w:leader="none" w:pos="1180" w:val="left"/>
          <w:tab w:leader="none" w:pos="22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QUAKER CHEMICAL CORPORATION</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QUAKER PARK, 901 HECTOR</w:t>
      </w:r>
    </w:p>
    <w:p>
      <w:pPr>
        <w:spacing w:after="0" w:line="1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STREET</w:t>
      </w:r>
    </w:p>
    <w:p>
      <w:pPr>
        <w:spacing w:after="0" w:line="281"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2020" w:type="dxa"/>
            <w:vAlign w:val="bottom"/>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r>
      <w:tr>
        <w:trPr>
          <w:trHeight w:val="230"/>
        </w:trPr>
        <w:tc>
          <w:tcPr>
            <w:tcW w:w="2020" w:type="dxa"/>
            <w:vAlign w:val="bottom"/>
          </w:tcPr>
          <w:p>
            <w:pPr>
              <w:ind w:left="40"/>
              <w:spacing w:after="0"/>
              <w:rPr>
                <w:sz w:val="20"/>
                <w:szCs w:val="20"/>
                <w:color w:val="auto"/>
              </w:rPr>
            </w:pPr>
            <w:r>
              <w:rPr>
                <w:rFonts w:ascii="Arial" w:cs="Arial" w:eastAsia="Arial" w:hAnsi="Arial"/>
                <w:sz w:val="17"/>
                <w:szCs w:val="17"/>
                <w:color w:val="0000FF"/>
              </w:rPr>
              <w:t>CONSHOHOCKEN PA</w:t>
            </w:r>
          </w:p>
        </w:tc>
        <w:tc>
          <w:tcPr>
            <w:tcW w:w="1140" w:type="dxa"/>
            <w:vAlign w:val="bottom"/>
          </w:tcPr>
          <w:p>
            <w:pPr>
              <w:jc w:val="right"/>
              <w:spacing w:after="0"/>
              <w:rPr>
                <w:sz w:val="20"/>
                <w:szCs w:val="20"/>
                <w:color w:val="auto"/>
              </w:rPr>
            </w:pPr>
            <w:r>
              <w:rPr>
                <w:rFonts w:ascii="Arial" w:cs="Arial" w:eastAsia="Arial" w:hAnsi="Arial"/>
                <w:sz w:val="17"/>
                <w:szCs w:val="17"/>
                <w:color w:val="0000FF"/>
              </w:rPr>
              <w:t>19428-0809</w:t>
            </w:r>
          </w:p>
        </w:tc>
      </w:tr>
    </w:tbl>
    <w:p>
      <w:pPr>
        <w:spacing w:after="0" w:line="20" w:lineRule="exact"/>
        <w:rPr>
          <w:sz w:val="24"/>
          <w:szCs w:val="24"/>
          <w:color w:val="auto"/>
        </w:rPr>
      </w:pPr>
      <w:r>
        <w:rPr>
          <w:sz w:val="24"/>
          <w:szCs w:val="24"/>
          <w:color w:val="auto"/>
        </w:rPr>
        <w:br w:type="column"/>
      </w:r>
    </w:p>
    <w:p>
      <w:pPr>
        <w:ind w:left="-6" w:right="260" w:firstLine="6"/>
        <w:spacing w:after="0" w:line="237" w:lineRule="auto"/>
        <w:tabs>
          <w:tab w:leader="none" w:pos="137"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4" w:type="dxa"/>
        <w:tblCellMar>
          <w:top w:w="0" w:type="dxa"/>
          <w:left w:w="0" w:type="dxa"/>
          <w:bottom w:w="0" w:type="dxa"/>
          <w:right w:w="0" w:type="dxa"/>
        </w:tblCellMar>
      </w:tblPr>
      <w:tr>
        <w:trPr>
          <w:trHeight w:val="154"/>
        </w:trPr>
        <w:tc>
          <w:tcPr>
            <w:tcW w:w="240" w:type="dxa"/>
            <w:vAlign w:val="bottom"/>
          </w:tcPr>
          <w:p>
            <w:pPr>
              <w:spacing w:after="0"/>
              <w:rPr>
                <w:sz w:val="13"/>
                <w:szCs w:val="13"/>
                <w:color w:val="auto"/>
              </w:rPr>
            </w:pP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654"/>
        <w:spacing w:after="0"/>
        <w:rPr>
          <w:sz w:val="20"/>
          <w:szCs w:val="20"/>
          <w:color w:val="auto"/>
        </w:rPr>
      </w:pPr>
      <w:r>
        <w:rPr>
          <w:rFonts w:ascii="Arial" w:cs="Arial" w:eastAsia="Arial" w:hAnsi="Arial"/>
          <w:sz w:val="17"/>
          <w:szCs w:val="17"/>
          <w:color w:val="0000FF"/>
        </w:rPr>
        <w:t>VP &amp; GIL - Automotive MW</w:t>
      </w:r>
    </w:p>
    <w:p>
      <w:pPr>
        <w:spacing w:after="0" w:line="20" w:lineRule="exact"/>
        <w:rPr>
          <w:sz w:val="24"/>
          <w:szCs w:val="24"/>
          <w:color w:val="auto"/>
        </w:rPr>
      </w:pPr>
      <w:r>
        <w:rPr>
          <w:sz w:val="24"/>
          <w:szCs w:val="24"/>
          <w:color w:val="auto"/>
        </w:rPr>
        <w:br w:type="column"/>
      </w:r>
    </w:p>
    <w:p>
      <w:pPr>
        <w:ind w:left="-4" w:right="580" w:firstLine="4"/>
        <w:spacing w:after="0" w:line="237"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If Amendment, Date of Original Filed (Month/Day/Year)</w:t>
      </w:r>
    </w:p>
    <w:p>
      <w:pPr>
        <w:spacing w:after="0" w:line="321" w:lineRule="exact"/>
        <w:rPr>
          <w:rFonts w:ascii="Arial" w:cs="Arial" w:eastAsia="Arial" w:hAnsi="Arial"/>
          <w:sz w:val="13"/>
          <w:szCs w:val="13"/>
          <w:color w:val="auto"/>
        </w:rPr>
      </w:pPr>
    </w:p>
    <w:p>
      <w:pPr>
        <w:ind w:left="-4" w:right="480" w:firstLine="4"/>
        <w:spacing w:after="0" w:line="237"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Individual or Joint/Group Filing (Check Applicable Line)</w:t>
      </w:r>
    </w:p>
    <w:p>
      <w:pPr>
        <w:spacing w:after="0" w:line="22" w:lineRule="exact"/>
        <w:rPr>
          <w:sz w:val="24"/>
          <w:szCs w:val="24"/>
          <w:color w:val="auto"/>
        </w:rPr>
      </w:pPr>
    </w:p>
    <w:p>
      <w:pPr>
        <w:ind w:left="456" w:hanging="291"/>
        <w:spacing w:after="0"/>
        <w:tabs>
          <w:tab w:leader="none" w:pos="456" w:val="left"/>
        </w:tabs>
        <w:numPr>
          <w:ilvl w:val="0"/>
          <w:numId w:val="4"/>
        </w:numPr>
        <w:rPr>
          <w:rFonts w:ascii="Arial" w:cs="Arial" w:eastAsia="Arial" w:hAnsi="Arial"/>
          <w:sz w:val="16"/>
          <w:szCs w:val="16"/>
          <w:color w:val="0000FF"/>
        </w:rPr>
      </w:pPr>
      <w:r>
        <w:rPr>
          <w:rFonts w:ascii="Arial" w:cs="Arial" w:eastAsia="Arial" w:hAnsi="Arial"/>
          <w:sz w:val="12"/>
          <w:szCs w:val="12"/>
          <w:color w:val="auto"/>
        </w:rPr>
        <w:t>Form filed by One Reporting Person</w:t>
      </w:r>
    </w:p>
    <w:p>
      <w:pPr>
        <w:spacing w:after="0" w:line="76" w:lineRule="exact"/>
        <w:rPr>
          <w:rFonts w:ascii="Arial" w:cs="Arial" w:eastAsia="Arial" w:hAnsi="Arial"/>
          <w:sz w:val="16"/>
          <w:szCs w:val="16"/>
          <w:color w:val="0000FF"/>
        </w:rPr>
      </w:pPr>
    </w:p>
    <w:p>
      <w:pPr>
        <w:ind w:left="456" w:right="700"/>
        <w:spacing w:after="0" w:line="237" w:lineRule="auto"/>
        <w:rPr>
          <w:rFonts w:ascii="Arial" w:cs="Arial" w:eastAsia="Arial" w:hAnsi="Arial"/>
          <w:sz w:val="16"/>
          <w:szCs w:val="16"/>
          <w:color w:val="0000FF"/>
        </w:rPr>
      </w:pPr>
      <w:r>
        <w:rPr>
          <w:rFonts w:ascii="Arial" w:cs="Arial" w:eastAsia="Arial" w:hAnsi="Arial"/>
          <w:sz w:val="13"/>
          <w:szCs w:val="13"/>
          <w:color w:val="auto"/>
        </w:rPr>
        <w:t>Form filed by More than One Reporting Person</w:t>
      </w:r>
    </w:p>
    <w:p>
      <w:pPr>
        <w:spacing w:after="0" w:line="263" w:lineRule="exact"/>
        <w:rPr>
          <w:sz w:val="24"/>
          <w:szCs w:val="24"/>
          <w:color w:val="auto"/>
        </w:rPr>
      </w:pPr>
    </w:p>
    <w:p>
      <w:pPr>
        <w:sectPr>
          <w:pgSz w:w="11900" w:h="16838" w:orient="portrait"/>
          <w:cols w:equalWidth="0" w:num="3">
            <w:col w:w="4486" w:space="720"/>
            <w:col w:w="2974" w:space="444"/>
            <w:col w:w="2796"/>
          </w:cols>
          <w:pgMar w:left="240" w:top="221" w:right="239" w:bottom="1440" w:gutter="0" w:footer="0" w:header="0"/>
          <w:type w:val="continuous"/>
        </w:sectPr>
      </w:pPr>
    </w:p>
    <w:p>
      <w:pPr>
        <w:spacing w:after="0" w:line="109" w:lineRule="exact"/>
        <w:rPr>
          <w:sz w:val="24"/>
          <w:szCs w:val="24"/>
          <w:color w:val="auto"/>
        </w:rPr>
      </w:pPr>
    </w:p>
    <w:p>
      <w:pPr>
        <w:ind w:left="120"/>
        <w:spacing w:after="0"/>
        <w:tabs>
          <w:tab w:leader="none" w:pos="1180" w:val="left"/>
          <w:tab w:leader="none" w:pos="22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 - Non-Derivative Securities Beneficially Owned</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3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4)</w:t>
            </w:r>
          </w:p>
        </w:tc>
        <w:tc>
          <w:tcPr>
            <w:tcW w:w="3620" w:type="dxa"/>
            <w:vAlign w:val="bottom"/>
          </w:tcPr>
          <w:p>
            <w:pPr>
              <w:ind w:left="1680"/>
              <w:spacing w:after="0"/>
              <w:rPr>
                <w:sz w:val="20"/>
                <w:szCs w:val="20"/>
                <w:color w:val="auto"/>
              </w:rPr>
            </w:pPr>
            <w:r>
              <w:rPr>
                <w:rFonts w:ascii="Arial" w:cs="Arial" w:eastAsia="Arial" w:hAnsi="Arial"/>
                <w:sz w:val="13"/>
                <w:szCs w:val="13"/>
                <w:b w:val="1"/>
                <w:bCs w:val="1"/>
                <w:color w:val="auto"/>
              </w:rPr>
              <w:t>2. Amount of Securities</w:t>
            </w:r>
          </w:p>
        </w:tc>
        <w:tc>
          <w:tcPr>
            <w:tcW w:w="1340" w:type="dxa"/>
            <w:vAlign w:val="bottom"/>
          </w:tcPr>
          <w:p>
            <w:pPr>
              <w:ind w:left="240"/>
              <w:spacing w:after="0"/>
              <w:rPr>
                <w:sz w:val="20"/>
                <w:szCs w:val="20"/>
                <w:color w:val="auto"/>
              </w:rPr>
            </w:pPr>
            <w:r>
              <w:rPr>
                <w:rFonts w:ascii="Arial" w:cs="Arial" w:eastAsia="Arial" w:hAnsi="Arial"/>
                <w:sz w:val="13"/>
                <w:szCs w:val="13"/>
                <w:b w:val="1"/>
                <w:bCs w:val="1"/>
                <w:color w:val="auto"/>
              </w:rPr>
              <w:t>3. Ownership</w:t>
            </w:r>
          </w:p>
        </w:tc>
        <w:tc>
          <w:tcPr>
            <w:tcW w:w="3040" w:type="dxa"/>
            <w:vAlign w:val="bottom"/>
          </w:tcPr>
          <w:p>
            <w:pPr>
              <w:ind w:left="140"/>
              <w:spacing w:after="0"/>
              <w:rPr>
                <w:sz w:val="20"/>
                <w:szCs w:val="20"/>
                <w:color w:val="auto"/>
              </w:rPr>
            </w:pPr>
            <w:r>
              <w:rPr>
                <w:rFonts w:ascii="Arial" w:cs="Arial" w:eastAsia="Arial" w:hAnsi="Arial"/>
                <w:sz w:val="13"/>
                <w:szCs w:val="13"/>
                <w:b w:val="1"/>
                <w:bCs w:val="1"/>
                <w:color w:val="auto"/>
              </w:rPr>
              <w:t>4. Nature of Indirect Beneficial Ownership</w:t>
            </w:r>
          </w:p>
        </w:tc>
      </w:tr>
      <w:tr>
        <w:trPr>
          <w:trHeight w:val="141"/>
        </w:trPr>
        <w:tc>
          <w:tcPr>
            <w:tcW w:w="3400" w:type="dxa"/>
            <w:vAlign w:val="bottom"/>
          </w:tcPr>
          <w:p>
            <w:pPr>
              <w:spacing w:after="0"/>
              <w:rPr>
                <w:sz w:val="12"/>
                <w:szCs w:val="12"/>
                <w:color w:val="auto"/>
              </w:rPr>
            </w:pPr>
          </w:p>
        </w:tc>
        <w:tc>
          <w:tcPr>
            <w:tcW w:w="3620" w:type="dxa"/>
            <w:vAlign w:val="bottom"/>
          </w:tcPr>
          <w:p>
            <w:pPr>
              <w:ind w:left="1680"/>
              <w:spacing w:after="0" w:line="141" w:lineRule="exact"/>
              <w:rPr>
                <w:sz w:val="20"/>
                <w:szCs w:val="20"/>
                <w:color w:val="auto"/>
              </w:rPr>
            </w:pPr>
            <w:r>
              <w:rPr>
                <w:rFonts w:ascii="Arial" w:cs="Arial" w:eastAsia="Arial" w:hAnsi="Arial"/>
                <w:sz w:val="13"/>
                <w:szCs w:val="13"/>
                <w:b w:val="1"/>
                <w:bCs w:val="1"/>
                <w:color w:val="auto"/>
              </w:rPr>
              <w:t>Beneficially Owned (Instr. 4)</w:t>
            </w:r>
          </w:p>
        </w:tc>
        <w:tc>
          <w:tcPr>
            <w:tcW w:w="1340" w:type="dxa"/>
            <w:vAlign w:val="bottom"/>
          </w:tcPr>
          <w:p>
            <w:pPr>
              <w:ind w:left="240"/>
              <w:spacing w:after="0" w:line="141" w:lineRule="exact"/>
              <w:rPr>
                <w:sz w:val="20"/>
                <w:szCs w:val="20"/>
                <w:color w:val="auto"/>
              </w:rPr>
            </w:pPr>
            <w:r>
              <w:rPr>
                <w:rFonts w:ascii="Arial" w:cs="Arial" w:eastAsia="Arial" w:hAnsi="Arial"/>
                <w:sz w:val="13"/>
                <w:szCs w:val="13"/>
                <w:b w:val="1"/>
                <w:bCs w:val="1"/>
                <w:color w:val="auto"/>
              </w:rPr>
              <w:t>Form: Direct (D)</w:t>
            </w:r>
          </w:p>
        </w:tc>
        <w:tc>
          <w:tcPr>
            <w:tcW w:w="3040" w:type="dxa"/>
            <w:vAlign w:val="bottom"/>
          </w:tcPr>
          <w:p>
            <w:pPr>
              <w:ind w:left="140"/>
              <w:spacing w:after="0" w:line="141" w:lineRule="exact"/>
              <w:rPr>
                <w:sz w:val="20"/>
                <w:szCs w:val="20"/>
                <w:color w:val="auto"/>
              </w:rPr>
            </w:pPr>
            <w:r>
              <w:rPr>
                <w:rFonts w:ascii="Arial" w:cs="Arial" w:eastAsia="Arial" w:hAnsi="Arial"/>
                <w:sz w:val="13"/>
                <w:szCs w:val="13"/>
                <w:b w:val="1"/>
                <w:bCs w:val="1"/>
                <w:color w:val="auto"/>
              </w:rPr>
              <w:t>(Instr. 5)</w:t>
            </w:r>
          </w:p>
        </w:tc>
      </w:tr>
      <w:tr>
        <w:trPr>
          <w:trHeight w:val="141"/>
        </w:trPr>
        <w:tc>
          <w:tcPr>
            <w:tcW w:w="34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40" w:type="dxa"/>
            <w:vAlign w:val="bottom"/>
          </w:tcPr>
          <w:p>
            <w:pPr>
              <w:ind w:left="240"/>
              <w:spacing w:after="0" w:line="141" w:lineRule="exact"/>
              <w:rPr>
                <w:sz w:val="20"/>
                <w:szCs w:val="20"/>
                <w:color w:val="auto"/>
              </w:rPr>
            </w:pPr>
            <w:r>
              <w:rPr>
                <w:rFonts w:ascii="Arial" w:cs="Arial" w:eastAsia="Arial" w:hAnsi="Arial"/>
                <w:sz w:val="13"/>
                <w:szCs w:val="13"/>
                <w:b w:val="1"/>
                <w:bCs w:val="1"/>
                <w:color w:val="auto"/>
              </w:rPr>
              <w:t>or Indirect (I)</w:t>
            </w:r>
          </w:p>
        </w:tc>
        <w:tc>
          <w:tcPr>
            <w:tcW w:w="3040" w:type="dxa"/>
            <w:vAlign w:val="bottom"/>
          </w:tcPr>
          <w:p>
            <w:pPr>
              <w:spacing w:after="0"/>
              <w:rPr>
                <w:sz w:val="12"/>
                <w:szCs w:val="12"/>
                <w:color w:val="auto"/>
              </w:rPr>
            </w:pPr>
          </w:p>
        </w:tc>
      </w:tr>
      <w:tr>
        <w:trPr>
          <w:trHeight w:val="170"/>
        </w:trPr>
        <w:tc>
          <w:tcPr>
            <w:tcW w:w="34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40" w:type="dxa"/>
            <w:vAlign w:val="bottom"/>
          </w:tcPr>
          <w:p>
            <w:pPr>
              <w:ind w:left="240"/>
              <w:spacing w:after="0"/>
              <w:rPr>
                <w:sz w:val="20"/>
                <w:szCs w:val="20"/>
                <w:color w:val="auto"/>
              </w:rPr>
            </w:pPr>
            <w:r>
              <w:rPr>
                <w:rFonts w:ascii="Arial" w:cs="Arial" w:eastAsia="Arial" w:hAnsi="Arial"/>
                <w:sz w:val="13"/>
                <w:szCs w:val="13"/>
                <w:b w:val="1"/>
                <w:bCs w:val="1"/>
                <w:color w:val="auto"/>
              </w:rPr>
              <w:t>(Instr. 5)</w:t>
            </w:r>
          </w:p>
        </w:tc>
        <w:tc>
          <w:tcPr>
            <w:tcW w:w="3040" w:type="dxa"/>
            <w:vAlign w:val="bottom"/>
          </w:tcPr>
          <w:p>
            <w:pPr>
              <w:spacing w:after="0"/>
              <w:rPr>
                <w:sz w:val="14"/>
                <w:szCs w:val="14"/>
                <w:color w:val="auto"/>
              </w:rPr>
            </w:pPr>
          </w:p>
        </w:tc>
      </w:tr>
      <w:tr>
        <w:trPr>
          <w:trHeight w:val="45"/>
        </w:trPr>
        <w:tc>
          <w:tcPr>
            <w:tcW w:w="340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3040" w:type="dxa"/>
            <w:vAlign w:val="bottom"/>
            <w:tcBorders>
              <w:bottom w:val="single" w:sz="8" w:color="2C2C2C"/>
            </w:tcBorders>
          </w:tcPr>
          <w:p>
            <w:pPr>
              <w:spacing w:after="0"/>
              <w:rPr>
                <w:sz w:val="3"/>
                <w:szCs w:val="3"/>
                <w:color w:val="auto"/>
              </w:rPr>
            </w:pPr>
          </w:p>
        </w:tc>
      </w:tr>
    </w:tbl>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31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ind w:left="640"/>
              <w:spacing w:after="0"/>
              <w:rPr>
                <w:sz w:val="20"/>
                <w:szCs w:val="20"/>
                <w:color w:val="auto"/>
              </w:rPr>
            </w:pPr>
            <w:r>
              <w:rPr>
                <w:rFonts w:ascii="Arial" w:cs="Arial" w:eastAsia="Arial" w:hAnsi="Arial"/>
                <w:sz w:val="17"/>
                <w:szCs w:val="17"/>
                <w:color w:val="0000FF"/>
              </w:rPr>
              <w:t>1,771</w:t>
            </w:r>
            <w:r>
              <w:rPr>
                <w:rFonts w:ascii="Arial" w:cs="Arial" w:eastAsia="Arial" w:hAnsi="Arial"/>
                <w:sz w:val="21"/>
                <w:szCs w:val="21"/>
                <w:color w:val="008000"/>
                <w:vertAlign w:val="superscript"/>
              </w:rPr>
              <w:t>(1)</w:t>
            </w:r>
          </w:p>
        </w:tc>
        <w:tc>
          <w:tcPr>
            <w:tcW w:w="68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I</w:t>
            </w:r>
          </w:p>
        </w:tc>
        <w:tc>
          <w:tcPr>
            <w:tcW w:w="1740" w:type="dxa"/>
            <w:vAlign w:val="bottom"/>
            <w:tcBorders>
              <w:bottom w:val="single" w:sz="8" w:color="2C2C2C"/>
            </w:tcBorders>
            <w:gridSpan w:val="2"/>
          </w:tcPr>
          <w:p>
            <w:pPr>
              <w:ind w:left="480"/>
              <w:spacing w:after="0"/>
              <w:rPr>
                <w:sz w:val="20"/>
                <w:szCs w:val="20"/>
                <w:color w:val="auto"/>
              </w:rPr>
            </w:pPr>
            <w:r>
              <w:rPr>
                <w:rFonts w:ascii="Arial" w:cs="Arial" w:eastAsia="Arial" w:hAnsi="Arial"/>
                <w:sz w:val="17"/>
                <w:szCs w:val="17"/>
                <w:color w:val="0000FF"/>
              </w:rPr>
              <w:t>by 401(k)</w:t>
            </w:r>
          </w:p>
        </w:tc>
        <w:tc>
          <w:tcPr>
            <w:tcW w:w="16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28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4400" w:type="dxa"/>
            <w:vAlign w:val="bottom"/>
            <w:tcBorders>
              <w:top w:val="single" w:sz="8" w:color="2C2C2C"/>
            </w:tcBorders>
            <w:gridSpan w:val="4"/>
          </w:tcPr>
          <w:p>
            <w:pPr>
              <w:ind w:left="100"/>
              <w:spacing w:after="0"/>
              <w:rPr>
                <w:sz w:val="20"/>
                <w:szCs w:val="20"/>
                <w:color w:val="auto"/>
              </w:rPr>
            </w:pPr>
            <w:r>
              <w:rPr>
                <w:rFonts w:ascii="Arial" w:cs="Arial" w:eastAsia="Arial" w:hAnsi="Arial"/>
                <w:sz w:val="17"/>
                <w:szCs w:val="17"/>
                <w:b w:val="1"/>
                <w:bCs w:val="1"/>
                <w:color w:val="auto"/>
              </w:rPr>
              <w:t>Table II - Derivative Securities Beneficially Owned</w:t>
            </w:r>
          </w:p>
        </w:tc>
        <w:tc>
          <w:tcPr>
            <w:tcW w:w="84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164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140" w:type="dxa"/>
            <w:vAlign w:val="bottom"/>
            <w:gridSpan w:val="5"/>
          </w:tcPr>
          <w:p>
            <w:pPr>
              <w:ind w:left="52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tcPr>
          <w:p>
            <w:pPr>
              <w:ind w:left="60"/>
              <w:spacing w:after="0"/>
              <w:rPr>
                <w:sz w:val="20"/>
                <w:szCs w:val="20"/>
                <w:color w:val="auto"/>
              </w:rPr>
            </w:pPr>
            <w:r>
              <w:rPr>
                <w:rFonts w:ascii="Arial" w:cs="Arial" w:eastAsia="Arial" w:hAnsi="Arial"/>
                <w:sz w:val="13"/>
                <w:szCs w:val="13"/>
                <w:b w:val="1"/>
                <w:bCs w:val="1"/>
                <w:color w:val="auto"/>
              </w:rPr>
              <w:t>1. Title of Derivative Security (Instr. 4)</w:t>
            </w:r>
          </w:p>
        </w:tc>
        <w:tc>
          <w:tcPr>
            <w:tcW w:w="740" w:type="dxa"/>
            <w:vAlign w:val="bottom"/>
          </w:tcPr>
          <w:p>
            <w:pPr>
              <w:spacing w:after="0"/>
              <w:rPr>
                <w:sz w:val="15"/>
                <w:szCs w:val="15"/>
                <w:color w:val="auto"/>
              </w:rPr>
            </w:pPr>
          </w:p>
        </w:tc>
        <w:tc>
          <w:tcPr>
            <w:tcW w:w="1600" w:type="dxa"/>
            <w:vAlign w:val="bottom"/>
            <w:gridSpan w:val="2"/>
          </w:tcPr>
          <w:p>
            <w:pPr>
              <w:ind w:left="60"/>
              <w:spacing w:after="0"/>
              <w:rPr>
                <w:sz w:val="20"/>
                <w:szCs w:val="20"/>
                <w:color w:val="auto"/>
              </w:rPr>
            </w:pPr>
            <w:r>
              <w:rPr>
                <w:rFonts w:ascii="Arial" w:cs="Arial" w:eastAsia="Arial" w:hAnsi="Arial"/>
                <w:sz w:val="13"/>
                <w:szCs w:val="13"/>
                <w:b w:val="1"/>
                <w:bCs w:val="1"/>
                <w:color w:val="auto"/>
              </w:rPr>
              <w:t>2. Date Exercisable and</w:t>
            </w:r>
          </w:p>
        </w:tc>
        <w:tc>
          <w:tcPr>
            <w:tcW w:w="2120" w:type="dxa"/>
            <w:vAlign w:val="bottom"/>
          </w:tcPr>
          <w:p>
            <w:pPr>
              <w:ind w:left="60"/>
              <w:spacing w:after="0"/>
              <w:rPr>
                <w:sz w:val="20"/>
                <w:szCs w:val="20"/>
                <w:color w:val="auto"/>
              </w:rPr>
            </w:pPr>
            <w:r>
              <w:rPr>
                <w:rFonts w:ascii="Arial" w:cs="Arial" w:eastAsia="Arial" w:hAnsi="Arial"/>
                <w:sz w:val="13"/>
                <w:szCs w:val="13"/>
                <w:b w:val="1"/>
                <w:bCs w:val="1"/>
                <w:color w:val="auto"/>
              </w:rPr>
              <w:t>3. Title and Amount of Securities</w:t>
            </w:r>
          </w:p>
        </w:tc>
        <w:tc>
          <w:tcPr>
            <w:tcW w:w="68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3"/>
                <w:szCs w:val="13"/>
                <w:b w:val="1"/>
                <w:bCs w:val="1"/>
                <w:color w:val="auto"/>
              </w:rPr>
              <w:t>4.</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auto"/>
              </w:rPr>
              <w:t>5.</w:t>
            </w:r>
          </w:p>
        </w:tc>
        <w:tc>
          <w:tcPr>
            <w:tcW w:w="1640" w:type="dxa"/>
            <w:vAlign w:val="bottom"/>
          </w:tcPr>
          <w:p>
            <w:pPr>
              <w:ind w:left="80"/>
              <w:spacing w:after="0"/>
              <w:rPr>
                <w:sz w:val="20"/>
                <w:szCs w:val="20"/>
                <w:color w:val="auto"/>
              </w:rPr>
            </w:pPr>
            <w:r>
              <w:rPr>
                <w:rFonts w:ascii="Arial" w:cs="Arial" w:eastAsia="Arial" w:hAnsi="Arial"/>
                <w:sz w:val="13"/>
                <w:szCs w:val="13"/>
                <w:b w:val="1"/>
                <w:bCs w:val="1"/>
                <w:color w:val="auto"/>
              </w:rPr>
              <w:t>6. Nature of Indirect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0" w:type="dxa"/>
            <w:vAlign w:val="bottom"/>
            <w:gridSpan w:val="2"/>
          </w:tcPr>
          <w:p>
            <w:pPr>
              <w:ind w:left="60"/>
              <w:spacing w:after="0" w:line="141" w:lineRule="exact"/>
              <w:rPr>
                <w:sz w:val="20"/>
                <w:szCs w:val="20"/>
                <w:color w:val="auto"/>
              </w:rPr>
            </w:pPr>
            <w:r>
              <w:rPr>
                <w:rFonts w:ascii="Arial" w:cs="Arial" w:eastAsia="Arial" w:hAnsi="Arial"/>
                <w:sz w:val="13"/>
                <w:szCs w:val="13"/>
                <w:b w:val="1"/>
                <w:bCs w:val="1"/>
                <w:color w:val="auto"/>
              </w:rPr>
              <w:t>Expiration Date</w:t>
            </w:r>
          </w:p>
        </w:tc>
        <w:tc>
          <w:tcPr>
            <w:tcW w:w="2800" w:type="dxa"/>
            <w:vAlign w:val="bottom"/>
            <w:gridSpan w:val="2"/>
          </w:tcPr>
          <w:p>
            <w:pPr>
              <w:ind w:left="60"/>
              <w:spacing w:after="0" w:line="141" w:lineRule="exact"/>
              <w:rPr>
                <w:sz w:val="20"/>
                <w:szCs w:val="20"/>
                <w:color w:val="auto"/>
              </w:rPr>
            </w:pPr>
            <w:r>
              <w:rPr>
                <w:rFonts w:ascii="Arial" w:cs="Arial" w:eastAsia="Arial" w:hAnsi="Arial"/>
                <w:sz w:val="13"/>
                <w:szCs w:val="13"/>
                <w:b w:val="1"/>
                <w:bCs w:val="1"/>
                <w:color w:val="auto"/>
              </w:rPr>
              <w:t>Underlying Derivative Security (Instr. 4)</w:t>
            </w:r>
          </w:p>
        </w:tc>
        <w:tc>
          <w:tcPr>
            <w:tcW w:w="840" w:type="dxa"/>
            <w:vAlign w:val="bottom"/>
          </w:tcPr>
          <w:p>
            <w:pPr>
              <w:ind w:left="80"/>
              <w:spacing w:after="0" w:line="141" w:lineRule="exact"/>
              <w:rPr>
                <w:sz w:val="20"/>
                <w:szCs w:val="20"/>
                <w:color w:val="auto"/>
              </w:rPr>
            </w:pPr>
            <w:r>
              <w:rPr>
                <w:rFonts w:ascii="Arial" w:cs="Arial" w:eastAsia="Arial" w:hAnsi="Arial"/>
                <w:sz w:val="13"/>
                <w:szCs w:val="13"/>
                <w:b w:val="1"/>
                <w:bCs w:val="1"/>
                <w:color w:val="auto"/>
              </w:rPr>
              <w:t>Conversion</w:t>
            </w:r>
          </w:p>
        </w:tc>
        <w:tc>
          <w:tcPr>
            <w:tcW w:w="900" w:type="dxa"/>
            <w:vAlign w:val="bottom"/>
          </w:tcPr>
          <w:p>
            <w:pPr>
              <w:ind w:left="80"/>
              <w:spacing w:after="0" w:line="141" w:lineRule="exact"/>
              <w:rPr>
                <w:sz w:val="20"/>
                <w:szCs w:val="20"/>
                <w:color w:val="auto"/>
              </w:rPr>
            </w:pPr>
            <w:r>
              <w:rPr>
                <w:rFonts w:ascii="Arial" w:cs="Arial" w:eastAsia="Arial" w:hAnsi="Arial"/>
                <w:sz w:val="13"/>
                <w:szCs w:val="13"/>
                <w:b w:val="1"/>
                <w:bCs w:val="1"/>
                <w:color w:val="auto"/>
              </w:rPr>
              <w:t>Ownership</w:t>
            </w:r>
          </w:p>
        </w:tc>
        <w:tc>
          <w:tcPr>
            <w:tcW w:w="1640" w:type="dxa"/>
            <w:vAlign w:val="bottom"/>
          </w:tcPr>
          <w:p>
            <w:pPr>
              <w:ind w:left="80"/>
              <w:spacing w:after="0" w:line="141" w:lineRule="exact"/>
              <w:rPr>
                <w:sz w:val="20"/>
                <w:szCs w:val="20"/>
                <w:color w:val="auto"/>
              </w:rPr>
            </w:pPr>
            <w:r>
              <w:rPr>
                <w:rFonts w:ascii="Arial" w:cs="Arial" w:eastAsia="Arial" w:hAnsi="Arial"/>
                <w:sz w:val="13"/>
                <w:szCs w:val="13"/>
                <w:b w:val="1"/>
                <w:bCs w:val="1"/>
                <w:color w:val="auto"/>
              </w:rPr>
              <w:t>Beneficial Ownership</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0" w:type="dxa"/>
            <w:vAlign w:val="bottom"/>
            <w:gridSpan w:val="2"/>
          </w:tcPr>
          <w:p>
            <w:pPr>
              <w:ind w:left="60"/>
              <w:spacing w:after="0" w:line="141" w:lineRule="exact"/>
              <w:rPr>
                <w:sz w:val="20"/>
                <w:szCs w:val="20"/>
                <w:color w:val="auto"/>
              </w:rPr>
            </w:pPr>
            <w:r>
              <w:rPr>
                <w:rFonts w:ascii="Arial" w:cs="Arial" w:eastAsia="Arial" w:hAnsi="Arial"/>
                <w:sz w:val="13"/>
                <w:szCs w:val="13"/>
                <w:b w:val="1"/>
                <w:bCs w:val="1"/>
                <w:color w:val="auto"/>
              </w:rPr>
              <w:t>(Month/Day/Year)</w:t>
            </w:r>
          </w:p>
        </w:tc>
        <w:tc>
          <w:tcPr>
            <w:tcW w:w="2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ind w:left="80"/>
              <w:spacing w:after="0" w:line="141" w:lineRule="exact"/>
              <w:rPr>
                <w:sz w:val="20"/>
                <w:szCs w:val="20"/>
                <w:color w:val="auto"/>
              </w:rPr>
            </w:pPr>
            <w:r>
              <w:rPr>
                <w:rFonts w:ascii="Arial" w:cs="Arial" w:eastAsia="Arial" w:hAnsi="Arial"/>
                <w:sz w:val="13"/>
                <w:szCs w:val="13"/>
                <w:b w:val="1"/>
                <w:bCs w:val="1"/>
                <w:color w:val="auto"/>
              </w:rPr>
              <w:t>or Exercise</w:t>
            </w:r>
          </w:p>
        </w:tc>
        <w:tc>
          <w:tcPr>
            <w:tcW w:w="900" w:type="dxa"/>
            <w:vAlign w:val="bottom"/>
          </w:tcPr>
          <w:p>
            <w:pPr>
              <w:ind w:left="80"/>
              <w:spacing w:after="0" w:line="141" w:lineRule="exact"/>
              <w:rPr>
                <w:sz w:val="20"/>
                <w:szCs w:val="20"/>
                <w:color w:val="auto"/>
              </w:rPr>
            </w:pPr>
            <w:r>
              <w:rPr>
                <w:rFonts w:ascii="Arial" w:cs="Arial" w:eastAsia="Arial" w:hAnsi="Arial"/>
                <w:sz w:val="13"/>
                <w:szCs w:val="13"/>
                <w:b w:val="1"/>
                <w:bCs w:val="1"/>
                <w:color w:val="auto"/>
              </w:rPr>
              <w:t>Form: Direct</w:t>
            </w:r>
          </w:p>
        </w:tc>
        <w:tc>
          <w:tcPr>
            <w:tcW w:w="1640" w:type="dxa"/>
            <w:vAlign w:val="bottom"/>
          </w:tcPr>
          <w:p>
            <w:pPr>
              <w:ind w:left="80"/>
              <w:spacing w:after="0" w:line="141" w:lineRule="exact"/>
              <w:rPr>
                <w:sz w:val="20"/>
                <w:szCs w:val="20"/>
                <w:color w:val="auto"/>
              </w:rPr>
            </w:pPr>
            <w:r>
              <w:rPr>
                <w:rFonts w:ascii="Arial" w:cs="Arial" w:eastAsia="Arial" w:hAnsi="Arial"/>
                <w:sz w:val="13"/>
                <w:szCs w:val="13"/>
                <w:b w:val="1"/>
                <w:bCs w:val="1"/>
                <w:color w:val="auto"/>
              </w:rPr>
              <w:t>(Instr. 5)</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vMerge w:val="restart"/>
          </w:tcPr>
          <w:p>
            <w:pPr>
              <w:ind w:left="80"/>
              <w:spacing w:after="0" w:line="141" w:lineRule="exact"/>
              <w:rPr>
                <w:sz w:val="20"/>
                <w:szCs w:val="20"/>
                <w:color w:val="auto"/>
              </w:rPr>
            </w:pPr>
            <w:r>
              <w:rPr>
                <w:rFonts w:ascii="Arial" w:cs="Arial" w:eastAsia="Arial" w:hAnsi="Arial"/>
                <w:sz w:val="13"/>
                <w:szCs w:val="13"/>
                <w:b w:val="1"/>
                <w:bCs w:val="1"/>
                <w:color w:val="auto"/>
              </w:rPr>
              <w:t>Price of</w:t>
            </w:r>
          </w:p>
        </w:tc>
        <w:tc>
          <w:tcPr>
            <w:tcW w:w="900" w:type="dxa"/>
            <w:vAlign w:val="bottom"/>
            <w:vMerge w:val="restart"/>
          </w:tcPr>
          <w:p>
            <w:pPr>
              <w:ind w:left="80"/>
              <w:spacing w:after="0" w:line="141" w:lineRule="exact"/>
              <w:rPr>
                <w:sz w:val="20"/>
                <w:szCs w:val="20"/>
                <w:color w:val="auto"/>
              </w:rPr>
            </w:pPr>
            <w:r>
              <w:rPr>
                <w:rFonts w:ascii="Arial" w:cs="Arial" w:eastAsia="Arial" w:hAnsi="Arial"/>
                <w:sz w:val="13"/>
                <w:szCs w:val="13"/>
                <w:b w:val="1"/>
                <w:bCs w:val="1"/>
                <w:color w:val="auto"/>
              </w:rPr>
              <w:t>(D) or</w:t>
            </w: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8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3"/>
                <w:szCs w:val="13"/>
                <w:b w:val="1"/>
                <w:bCs w:val="1"/>
                <w:color w:val="auto"/>
              </w:rPr>
              <w:t>Derivative</w:t>
            </w:r>
          </w:p>
        </w:tc>
        <w:tc>
          <w:tcPr>
            <w:tcW w:w="900" w:type="dxa"/>
            <w:vAlign w:val="bottom"/>
          </w:tcPr>
          <w:p>
            <w:pPr>
              <w:ind w:left="80"/>
              <w:spacing w:after="0" w:line="133" w:lineRule="exact"/>
              <w:rPr>
                <w:sz w:val="20"/>
                <w:szCs w:val="20"/>
                <w:color w:val="auto"/>
              </w:rPr>
            </w:pPr>
            <w:r>
              <w:rPr>
                <w:rFonts w:ascii="Arial" w:cs="Arial" w:eastAsia="Arial" w:hAnsi="Arial"/>
                <w:sz w:val="13"/>
                <w:szCs w:val="13"/>
                <w:b w:val="1"/>
                <w:bCs w:val="1"/>
                <w:color w:val="auto"/>
              </w:rPr>
              <w:t>Indirect (I)</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b w:val="1"/>
                <w:bCs w:val="1"/>
                <w:color w:val="auto"/>
              </w:rPr>
              <w:t>or</w:t>
            </w:r>
          </w:p>
        </w:tc>
        <w:tc>
          <w:tcPr>
            <w:tcW w:w="840" w:type="dxa"/>
            <w:vAlign w:val="bottom"/>
          </w:tcPr>
          <w:p>
            <w:pPr>
              <w:ind w:left="80"/>
              <w:spacing w:after="0" w:line="141" w:lineRule="exact"/>
              <w:rPr>
                <w:sz w:val="20"/>
                <w:szCs w:val="20"/>
                <w:color w:val="auto"/>
              </w:rPr>
            </w:pPr>
            <w:r>
              <w:rPr>
                <w:rFonts w:ascii="Arial" w:cs="Arial" w:eastAsia="Arial" w:hAnsi="Arial"/>
                <w:sz w:val="13"/>
                <w:szCs w:val="13"/>
                <w:b w:val="1"/>
                <w:bCs w:val="1"/>
                <w:color w:val="auto"/>
              </w:rPr>
              <w:t>Security</w:t>
            </w:r>
          </w:p>
        </w:tc>
        <w:tc>
          <w:tcPr>
            <w:tcW w:w="900" w:type="dxa"/>
            <w:vAlign w:val="bottom"/>
          </w:tcPr>
          <w:p>
            <w:pPr>
              <w:ind w:left="80"/>
              <w:spacing w:after="0" w:line="141" w:lineRule="exact"/>
              <w:rPr>
                <w:sz w:val="20"/>
                <w:szCs w:val="20"/>
                <w:color w:val="auto"/>
              </w:rPr>
            </w:pPr>
            <w:r>
              <w:rPr>
                <w:rFonts w:ascii="Arial" w:cs="Arial" w:eastAsia="Arial" w:hAnsi="Arial"/>
                <w:sz w:val="13"/>
                <w:szCs w:val="13"/>
                <w:b w:val="1"/>
                <w:bCs w:val="1"/>
                <w:color w:val="auto"/>
              </w:rPr>
              <w:t>(Instr. 5)</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b w:val="1"/>
                <w:bCs w:val="1"/>
                <w:color w:val="auto"/>
              </w:rPr>
              <w:t>Number</w:t>
            </w: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ind w:left="60"/>
              <w:spacing w:after="0" w:line="141" w:lineRule="exact"/>
              <w:rPr>
                <w:sz w:val="20"/>
                <w:szCs w:val="20"/>
                <w:color w:val="auto"/>
              </w:rPr>
            </w:pPr>
            <w:r>
              <w:rPr>
                <w:rFonts w:ascii="Arial" w:cs="Arial" w:eastAsia="Arial" w:hAnsi="Arial"/>
                <w:sz w:val="13"/>
                <w:szCs w:val="13"/>
                <w:b w:val="1"/>
                <w:bCs w:val="1"/>
                <w:color w:val="auto"/>
              </w:rPr>
              <w:t>Date</w:t>
            </w:r>
          </w:p>
        </w:tc>
        <w:tc>
          <w:tcPr>
            <w:tcW w:w="7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7"/>
              </w:rPr>
              <w:t>Expiration</w:t>
            </w:r>
          </w:p>
        </w:tc>
        <w:tc>
          <w:tcPr>
            <w:tcW w:w="21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b w:val="1"/>
                <w:bCs w:val="1"/>
                <w:color w:val="auto"/>
              </w:rPr>
              <w:t>of</w:t>
            </w: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3"/>
                <w:szCs w:val="13"/>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3"/>
                <w:szCs w:val="13"/>
                <w:b w:val="1"/>
                <w:bCs w:val="1"/>
                <w:color w:val="auto"/>
              </w:rPr>
              <w:t>Date</w:t>
            </w:r>
          </w:p>
        </w:tc>
        <w:tc>
          <w:tcPr>
            <w:tcW w:w="2120" w:type="dxa"/>
            <w:vAlign w:val="bottom"/>
          </w:tcPr>
          <w:p>
            <w:pPr>
              <w:ind w:left="60"/>
              <w:spacing w:after="0"/>
              <w:rPr>
                <w:sz w:val="20"/>
                <w:szCs w:val="20"/>
                <w:color w:val="auto"/>
              </w:rPr>
            </w:pPr>
            <w:r>
              <w:rPr>
                <w:rFonts w:ascii="Arial" w:cs="Arial" w:eastAsia="Arial" w:hAnsi="Arial"/>
                <w:sz w:val="13"/>
                <w:szCs w:val="13"/>
                <w:b w:val="1"/>
                <w:bCs w:val="1"/>
                <w:color w:val="auto"/>
              </w:rPr>
              <w:t>Title</w:t>
            </w:r>
          </w:p>
        </w:tc>
        <w:tc>
          <w:tcPr>
            <w:tcW w:w="680" w:type="dxa"/>
            <w:vAlign w:val="bottom"/>
          </w:tcPr>
          <w:p>
            <w:pPr>
              <w:ind w:left="60"/>
              <w:spacing w:after="0"/>
              <w:rPr>
                <w:sz w:val="20"/>
                <w:szCs w:val="20"/>
                <w:color w:val="auto"/>
              </w:rPr>
            </w:pPr>
            <w:r>
              <w:rPr>
                <w:rFonts w:ascii="Arial" w:cs="Arial" w:eastAsia="Arial" w:hAnsi="Arial"/>
                <w:sz w:val="13"/>
                <w:szCs w:val="13"/>
                <w:b w:val="1"/>
                <w:bCs w:val="1"/>
                <w:color w:val="auto"/>
              </w:rPr>
              <w:t>Shares</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Stock Options (Right to buy)</w:t>
            </w:r>
          </w:p>
        </w:tc>
        <w:tc>
          <w:tcPr>
            <w:tcW w:w="1580" w:type="dxa"/>
            <w:vAlign w:val="bottom"/>
            <w:tcBorders>
              <w:bottom w:val="single" w:sz="8" w:color="2C2C2C"/>
            </w:tcBorders>
            <w:gridSpan w:val="2"/>
          </w:tcPr>
          <w:p>
            <w:pPr>
              <w:ind w:left="800"/>
              <w:spacing w:after="0"/>
              <w:rPr>
                <w:sz w:val="20"/>
                <w:szCs w:val="20"/>
                <w:color w:val="auto"/>
              </w:rPr>
            </w:pPr>
            <w:r>
              <w:rPr>
                <w:rFonts w:ascii="Arial" w:cs="Arial" w:eastAsia="Arial" w:hAnsi="Arial"/>
                <w:sz w:val="13"/>
                <w:szCs w:val="13"/>
                <w:color w:val="0000FF"/>
                <w:w w:val="92"/>
              </w:rPr>
              <w:t>01/23/2003</w:t>
            </w:r>
            <w:r>
              <w:rPr>
                <w:rFonts w:ascii="Arial" w:cs="Arial" w:eastAsia="Arial" w:hAnsi="Arial"/>
                <w:sz w:val="21"/>
                <w:szCs w:val="21"/>
                <w:color w:val="008000"/>
                <w:w w:val="92"/>
                <w:vertAlign w:val="superscript"/>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9"/>
              </w:rPr>
              <w:t>01/23/2009</w:t>
            </w:r>
          </w:p>
        </w:tc>
        <w:tc>
          <w:tcPr>
            <w:tcW w:w="2120" w:type="dxa"/>
            <w:vAlign w:val="bottom"/>
            <w:tcBorders>
              <w:bottom w:val="single" w:sz="8" w:color="2C2C2C"/>
            </w:tcBorders>
          </w:tcPr>
          <w:p>
            <w:pPr>
              <w:ind w:left="540"/>
              <w:spacing w:after="0"/>
              <w:rPr>
                <w:sz w:val="20"/>
                <w:szCs w:val="20"/>
                <w:color w:val="auto"/>
              </w:rPr>
            </w:pPr>
            <w:r>
              <w:rPr>
                <w:rFonts w:ascii="Arial" w:cs="Arial" w:eastAsia="Arial" w:hAnsi="Arial"/>
                <w:sz w:val="17"/>
                <w:szCs w:val="17"/>
                <w:color w:val="0000FF"/>
              </w:rPr>
              <w:t>Common Stock</w:t>
            </w:r>
          </w:p>
        </w:tc>
        <w:tc>
          <w:tcPr>
            <w:tcW w:w="6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2,800</w:t>
            </w:r>
          </w:p>
        </w:tc>
        <w:tc>
          <w:tcPr>
            <w:tcW w:w="8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20.09</w:t>
            </w:r>
          </w:p>
        </w:tc>
        <w:tc>
          <w:tcPr>
            <w:tcW w:w="90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16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Stock Options (Right to buy)</w:t>
            </w:r>
          </w:p>
        </w:tc>
        <w:tc>
          <w:tcPr>
            <w:tcW w:w="1580" w:type="dxa"/>
            <w:vAlign w:val="bottom"/>
            <w:tcBorders>
              <w:bottom w:val="single" w:sz="8" w:color="2C2C2C"/>
            </w:tcBorders>
            <w:gridSpan w:val="2"/>
          </w:tcPr>
          <w:p>
            <w:pPr>
              <w:ind w:left="800"/>
              <w:spacing w:after="0"/>
              <w:rPr>
                <w:sz w:val="20"/>
                <w:szCs w:val="20"/>
                <w:color w:val="auto"/>
              </w:rPr>
            </w:pPr>
            <w:r>
              <w:rPr>
                <w:rFonts w:ascii="Arial" w:cs="Arial" w:eastAsia="Arial" w:hAnsi="Arial"/>
                <w:sz w:val="13"/>
                <w:szCs w:val="13"/>
                <w:color w:val="0000FF"/>
                <w:w w:val="92"/>
              </w:rPr>
              <w:t>03/19/2004</w:t>
            </w:r>
            <w:r>
              <w:rPr>
                <w:rFonts w:ascii="Arial" w:cs="Arial" w:eastAsia="Arial" w:hAnsi="Arial"/>
                <w:sz w:val="21"/>
                <w:szCs w:val="21"/>
                <w:color w:val="008000"/>
                <w:w w:val="92"/>
                <w:vertAlign w:val="superscript"/>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9"/>
              </w:rPr>
              <w:t>03/19/2010</w:t>
            </w:r>
          </w:p>
        </w:tc>
        <w:tc>
          <w:tcPr>
            <w:tcW w:w="2120" w:type="dxa"/>
            <w:vAlign w:val="bottom"/>
            <w:tcBorders>
              <w:bottom w:val="single" w:sz="8" w:color="2C2C2C"/>
            </w:tcBorders>
          </w:tcPr>
          <w:p>
            <w:pPr>
              <w:ind w:left="540"/>
              <w:spacing w:after="0"/>
              <w:rPr>
                <w:sz w:val="20"/>
                <w:szCs w:val="20"/>
                <w:color w:val="auto"/>
              </w:rPr>
            </w:pPr>
            <w:r>
              <w:rPr>
                <w:rFonts w:ascii="Arial" w:cs="Arial" w:eastAsia="Arial" w:hAnsi="Arial"/>
                <w:sz w:val="17"/>
                <w:szCs w:val="17"/>
                <w:color w:val="0000FF"/>
              </w:rPr>
              <w:t>Common Stock</w:t>
            </w:r>
          </w:p>
        </w:tc>
        <w:tc>
          <w:tcPr>
            <w:tcW w:w="6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2,800</w:t>
            </w:r>
          </w:p>
        </w:tc>
        <w:tc>
          <w:tcPr>
            <w:tcW w:w="8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20.18</w:t>
            </w:r>
          </w:p>
        </w:tc>
        <w:tc>
          <w:tcPr>
            <w:tcW w:w="90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16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80" w:type="dxa"/>
            <w:vAlign w:val="bottom"/>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60" w:hanging="119"/>
        <w:spacing w:after="0"/>
        <w:tabs>
          <w:tab w:leader="none" w:pos="160" w:val="left"/>
        </w:tabs>
        <w:numPr>
          <w:ilvl w:val="0"/>
          <w:numId w:val="5"/>
        </w:numPr>
        <w:rPr>
          <w:rFonts w:ascii="Arial" w:cs="Arial" w:eastAsia="Arial" w:hAnsi="Arial"/>
          <w:sz w:val="13"/>
          <w:szCs w:val="13"/>
          <w:color w:val="008000"/>
        </w:rPr>
      </w:pPr>
      <w:r>
        <w:rPr>
          <w:rFonts w:ascii="Arial" w:cs="Arial" w:eastAsia="Arial" w:hAnsi="Arial"/>
          <w:sz w:val="13"/>
          <w:szCs w:val="13"/>
          <w:color w:val="008000"/>
        </w:rPr>
        <w:t>Information based on 12/31/03 Plan Statement.</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5"/>
        </w:numPr>
        <w:rPr>
          <w:rFonts w:ascii="Arial" w:cs="Arial" w:eastAsia="Arial" w:hAnsi="Arial"/>
          <w:sz w:val="13"/>
          <w:szCs w:val="13"/>
          <w:color w:val="008000"/>
        </w:rPr>
      </w:pPr>
      <w:r>
        <w:rPr>
          <w:rFonts w:ascii="Arial" w:cs="Arial" w:eastAsia="Arial" w:hAnsi="Arial"/>
          <w:sz w:val="13"/>
          <w:szCs w:val="13"/>
          <w:color w:val="008000"/>
        </w:rPr>
        <w:t>Employee stock option (right to buy) exercisable in three annual installments (50% after year one; 25% after year two; and 25% after year three).</w:t>
      </w:r>
    </w:p>
    <w:p>
      <w:pPr>
        <w:spacing w:after="0" w:line="4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Irene M. Kisleiko for Rex E.</w:t>
            </w:r>
          </w:p>
        </w:tc>
        <w:tc>
          <w:tcPr>
            <w:tcW w:w="180" w:type="dxa"/>
            <w:vAlign w:val="bottom"/>
          </w:tcPr>
          <w:p>
            <w:pPr>
              <w:spacing w:after="0"/>
              <w:rPr>
                <w:sz w:val="16"/>
                <w:szCs w:val="16"/>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6"/>
              </w:rPr>
              <w:t>01/09/2004</w:t>
            </w:r>
          </w:p>
        </w:tc>
        <w:tc>
          <w:tcPr>
            <w:tcW w:w="0" w:type="dxa"/>
            <w:vAlign w:val="bottom"/>
          </w:tcPr>
          <w:p>
            <w:pPr>
              <w:spacing w:after="0"/>
              <w:rPr>
                <w:sz w:val="1"/>
                <w:szCs w:val="1"/>
                <w:color w:val="auto"/>
              </w:rPr>
            </w:pPr>
          </w:p>
        </w:tc>
      </w:tr>
      <w:tr>
        <w:trPr>
          <w:trHeight w:val="83"/>
        </w:trPr>
        <w:tc>
          <w:tcPr>
            <w:tcW w:w="420" w:type="dxa"/>
            <w:vAlign w:val="bottom"/>
            <w:vMerge w:val="restart"/>
          </w:tcPr>
          <w:p>
            <w:pPr>
              <w:spacing w:after="0" w:line="185" w:lineRule="exact"/>
              <w:rPr>
                <w:sz w:val="20"/>
                <w:szCs w:val="20"/>
                <w:color w:val="auto"/>
              </w:rPr>
            </w:pPr>
            <w:r>
              <w:rPr>
                <w:rFonts w:ascii="Arial" w:cs="Arial" w:eastAsia="Arial" w:hAnsi="Arial"/>
                <w:sz w:val="17"/>
                <w:szCs w:val="17"/>
                <w:color w:val="0000FF"/>
                <w:w w:val="90"/>
              </w:rPr>
              <w:t>Curtis</w:t>
            </w:r>
          </w:p>
        </w:tc>
        <w:tc>
          <w:tcPr>
            <w:tcW w:w="168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20" w:type="dxa"/>
            <w:vAlign w:val="bottom"/>
            <w:tcBorders>
              <w:bottom w:val="single" w:sz="8" w:color="auto"/>
            </w:tcBorders>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5 (b)(v).</w:t>
      </w:r>
    </w:p>
    <w:p>
      <w:pPr>
        <w:spacing w:after="0" w:line="43" w:lineRule="exact"/>
        <w:rPr>
          <w:sz w:val="24"/>
          <w:szCs w:val="24"/>
          <w:color w:val="auto"/>
        </w:rPr>
      </w:pPr>
    </w:p>
    <w:p>
      <w:pPr>
        <w:jc w:val="both"/>
        <w:ind w:left="40" w:right="3960" w:firstLine="1"/>
        <w:spacing w:after="0" w:line="333" w:lineRule="auto"/>
        <w:tabs>
          <w:tab w:leader="none" w:pos="176"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1"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600" w:firstLine="802"/>
        <w:spacing w:after="0" w:line="23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D. Jeffry Benoliel, Irene M. Kisleiko, and Robert T. Traub, signing singly, the undersigned's true and lawful attorney-in-fact to:</w:t>
      </w:r>
    </w:p>
    <w:p>
      <w:pPr>
        <w:spacing w:after="0" w:line="8" w:lineRule="exact"/>
        <w:rPr>
          <w:sz w:val="20"/>
          <w:szCs w:val="20"/>
          <w:color w:val="auto"/>
        </w:rPr>
      </w:pPr>
    </w:p>
    <w:p>
      <w:pPr>
        <w:ind w:right="1800" w:firstLine="3"/>
        <w:spacing w:after="0" w:line="237" w:lineRule="auto"/>
        <w:tabs>
          <w:tab w:leader="none" w:pos="80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Quaker Chemical Corporation (the "Company"), Forms 3, 4, and 5 in accordance with Section 16(a) of the Securities Exchange Act of 1934 and the rules thereunder;</w:t>
      </w:r>
    </w:p>
    <w:p>
      <w:pPr>
        <w:spacing w:after="0" w:line="7" w:lineRule="exact"/>
        <w:rPr>
          <w:rFonts w:ascii="Courier New" w:cs="Courier New" w:eastAsia="Courier New" w:hAnsi="Courier New"/>
          <w:sz w:val="17"/>
          <w:szCs w:val="17"/>
          <w:color w:val="auto"/>
        </w:rPr>
      </w:pPr>
    </w:p>
    <w:p>
      <w:pPr>
        <w:ind w:right="1900" w:firstLine="3"/>
        <w:spacing w:after="0" w:line="238" w:lineRule="auto"/>
        <w:tabs>
          <w:tab w:leader="none" w:pos="80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800" w:hanging="797"/>
        <w:spacing w:after="0"/>
        <w:tabs>
          <w:tab w:leader="none" w:pos="8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w:t>
      </w:r>
    </w:p>
    <w:p>
      <w:pPr>
        <w:spacing w:after="0" w:line="6" w:lineRule="exact"/>
        <w:rPr>
          <w:sz w:val="20"/>
          <w:szCs w:val="20"/>
          <w:color w:val="auto"/>
        </w:rPr>
      </w:pPr>
    </w:p>
    <w:p>
      <w:pPr>
        <w:ind w:right="1100"/>
        <w:spacing w:after="0" w:line="238" w:lineRule="auto"/>
        <w:rPr>
          <w:sz w:val="20"/>
          <w:szCs w:val="20"/>
          <w:color w:val="auto"/>
        </w:rPr>
      </w:pPr>
      <w:r>
        <w:rPr>
          <w:rFonts w:ascii="Courier New" w:cs="Courier New" w:eastAsia="Courier New" w:hAnsi="Courier New"/>
          <w:sz w:val="17"/>
          <w:szCs w:val="17"/>
          <w:color w:val="auto"/>
        </w:rPr>
        <w:t>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 w:lineRule="exact"/>
        <w:rPr>
          <w:sz w:val="20"/>
          <w:szCs w:val="20"/>
          <w:color w:val="auto"/>
        </w:rPr>
      </w:pPr>
    </w:p>
    <w:p>
      <w:pPr>
        <w:ind w:right="1000" w:firstLine="802"/>
        <w:spacing w:after="0" w:line="255"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w:t>
      </w:r>
    </w:p>
    <w:p>
      <w:pPr>
        <w:spacing w:after="0" w:line="233" w:lineRule="auto"/>
        <w:rPr>
          <w:sz w:val="20"/>
          <w:szCs w:val="20"/>
          <w:color w:val="auto"/>
        </w:rPr>
      </w:pPr>
      <w:r>
        <w:rPr>
          <w:rFonts w:ascii="Courier New" w:cs="Courier New" w:eastAsia="Courier New" w:hAnsi="Courier New"/>
          <w:sz w:val="17"/>
          <w:szCs w:val="17"/>
          <w:color w:val="auto"/>
        </w:rPr>
        <w:t>of any of the rights and powers herein granted, as fully to all intents and purposes as the undersigned might</w:t>
      </w:r>
    </w:p>
    <w:p>
      <w:pPr>
        <w:spacing w:after="0" w:line="6" w:lineRule="exact"/>
        <w:rPr>
          <w:sz w:val="20"/>
          <w:szCs w:val="20"/>
          <w:color w:val="auto"/>
        </w:rPr>
      </w:pPr>
    </w:p>
    <w:p>
      <w:pPr>
        <w:spacing w:after="0" w:line="239" w:lineRule="auto"/>
        <w:rPr>
          <w:sz w:val="20"/>
          <w:szCs w:val="20"/>
          <w:color w:val="auto"/>
        </w:rPr>
      </w:pPr>
      <w:r>
        <w:rPr>
          <w:rFonts w:ascii="Courier New" w:cs="Courier New" w:eastAsia="Courier New" w:hAnsi="Courier New"/>
          <w:sz w:val="17"/>
          <w:szCs w:val="17"/>
          <w:color w:val="auto"/>
        </w:rPr>
        <w:t>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6" w:lineRule="exact"/>
        <w:rPr>
          <w:sz w:val="20"/>
          <w:szCs w:val="20"/>
          <w:color w:val="auto"/>
        </w:rPr>
      </w:pPr>
    </w:p>
    <w:p>
      <w:pPr>
        <w:ind w:right="400" w:firstLine="802"/>
        <w:spacing w:after="0" w:line="23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 w:lineRule="exact"/>
        <w:rPr>
          <w:sz w:val="20"/>
          <w:szCs w:val="20"/>
          <w:color w:val="auto"/>
        </w:rPr>
      </w:pPr>
    </w:p>
    <w:p>
      <w:pPr>
        <w:ind w:right="1700" w:firstLine="802"/>
        <w:spacing w:after="0" w:line="23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7th day of December, 2003.</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Rex E. Curtis</w:t>
      </w:r>
    </w:p>
    <w:p>
      <w:pPr>
        <w:spacing w:after="0"/>
        <w:rPr>
          <w:sz w:val="20"/>
          <w:szCs w:val="20"/>
          <w:color w:val="auto"/>
        </w:rPr>
      </w:pPr>
      <w:r>
        <w:rPr>
          <w:rFonts w:ascii="Courier New" w:cs="Courier New" w:eastAsia="Courier New" w:hAnsi="Courier New"/>
          <w:sz w:val="17"/>
          <w:szCs w:val="17"/>
          <w:color w:val="auto"/>
        </w:rPr>
        <w:t>Signature</w:t>
      </w:r>
    </w:p>
    <w:p>
      <w:pPr>
        <w:spacing w:after="0"/>
        <w:rPr>
          <w:sz w:val="20"/>
          <w:szCs w:val="20"/>
          <w:color w:val="auto"/>
        </w:rPr>
      </w:pPr>
      <w:r>
        <w:rPr>
          <w:rFonts w:ascii="Courier New" w:cs="Courier New" w:eastAsia="Courier New" w:hAnsi="Courier New"/>
          <w:sz w:val="17"/>
          <w:szCs w:val="17"/>
          <w:color w:val="auto"/>
        </w:rPr>
        <w:t>Rex E. Curtis</w:t>
      </w: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1520"/>
      </w:cols>
      <w:pgMar w:left="240" w:top="136"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72440" TargetMode="External"/><Relationship Id="rId12" Type="http://schemas.openxmlformats.org/officeDocument/2006/relationships/hyperlink" Target="http://www.sec.gov/cgi-bin/browse-edgar?action=getcompany&amp;CIK=00000813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2019-12-17T10:35:13Z</dcterms:created>
  <dcterms:modified xsi:type="dcterms:W3CDTF">2019-12-17T10:35:13Z</dcterms:modified>
</cp:coreProperties>
</file>