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September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001-12019</w:t>
      </w:r>
    </w:p>
    <w:tbl>
      <w:tblPr>
        <w:tblW w:w="4153" w:type="dxa"/>
        <w:jc w:val="center"/>
        <w:tblInd w:w="0" w:type="dxa"/>
        <w:tblLayout w:type="fixed"/>
        <w:tblCellMar>
          <w:top w:w="28" w:type="dxa"/>
          <w:left w:w="28" w:type="dxa"/>
          <w:bottom w:w="28" w:type="dxa"/>
          <w:right w:w="28" w:type="dxa"/>
        </w:tblCellMar>
      </w:tblPr>
      <w:tblGrid>
        <w:gridCol w:w="908"/>
        <w:gridCol w:w="796"/>
        <w:gridCol w:w="800"/>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23-0993790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901 E. Hector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Conshohocken, Pennsylvania 19428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(610) 832-4000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896"/>
        <w:gridCol w:w="784"/>
        <w:gridCol w:w="794"/>
        <w:gridCol w:w="109"/>
        <w:gridCol w:w="109"/>
        <w:gridCol w:w="109"/>
        <w:gridCol w:w="539"/>
        <w:gridCol w:w="539"/>
        <w:gridCol w:w="541"/>
        <w:gridCol w:w="109"/>
        <w:gridCol w:w="109"/>
        <w:gridCol w:w="109"/>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120"/>
        <w:jc w:val="center"/>
        <w:rPr>
          <w:rFonts w:ascii="Times New Roman;serif" w:hAnsi="Times New Roman;serif"/>
          <w:b/>
          <w:color w:val="000000"/>
          <w:sz w:val="20"/>
        </w:rPr>
      </w:pPr>
      <w:r>
        <w:rPr>
          <w:rFonts w:ascii="Times New Roman;serif" w:hAnsi="Times New Roman;serif"/>
          <w:b/>
          <w:color w:val="000000"/>
          <w:sz w:val="20"/>
        </w:rPr>
        <w:t>INFORMATION TO BE INCLUDED IN THE REPORT</w:t>
      </w:r>
    </w:p>
    <w:p>
      <w:pPr>
        <w:pStyle w:val="TextBody"/>
        <w:bidi w:val="0"/>
        <w:spacing w:lineRule="auto" w:line="333" w:before="0" w:after="12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as of September 30, 2026, Jeewat Bijlani will no longer serve as Executive Vice President, Global Specialty and Chief Growth Officer of Quaker Chemical Corporation (“Quaker Houghton” or the “Company”). Mr. Bijlani’s departure is not related to any disagreement between him and the Company. Mr. Bijlani’s separation from the Company is a termination without cause for purposes of all applicable plan benefits and contractual entitlements, including his employment agreement dated September 28, 2017, effective August 1, 2019 (the “Bijlani Employment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termination, subject to executing a customary release of claims, Mr. Bijlani will be entitled to receive severance payments and benefits under the Bijlani Employment Agreement and the Company’s plans and programs consistent with those described in the Company’s Proxy Statement filed with the Securities and Exchange Commission on March 31, 2026.</w:t>
      </w:r>
    </w:p>
    <w:p>
      <w:pPr>
        <w:pStyle w:val="TextBody"/>
        <w:bidi w:val="0"/>
        <w:spacing w:before="0" w:after="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19"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as part of this Current Report on Form 8-K.</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20"/>
              </w:rPr>
            </w:pPr>
            <w:r>
              <w:rPr>
                <w:rFonts w:ascii="Times New Roman;serif" w:hAnsi="Times New Roman;serif"/>
                <w:b/>
                <w:color w:val="000000"/>
                <w:sz w:val="20"/>
              </w:rPr>
              <w:t xml:space="preserve">Exhibit </w:t>
            </w:r>
          </w:p>
          <w:p>
            <w:pPr>
              <w:pStyle w:val="TableContents"/>
              <w:bidi w:val="0"/>
              <w:spacing w:lineRule="auto" w:line="333" w:before="0" w:after="2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079" w:type="dxa"/>
        <w:jc w:val="left"/>
        <w:tblInd w:w="0" w:type="dxa"/>
        <w:tblLayout w:type="fixed"/>
        <w:tblCellMar>
          <w:top w:w="28" w:type="dxa"/>
          <w:left w:w="28" w:type="dxa"/>
          <w:bottom w:w="28" w:type="dxa"/>
          <w:right w:w="28" w:type="dxa"/>
        </w:tblCellMar>
      </w:tblPr>
      <w:tblGrid>
        <w:gridCol w:w="764"/>
        <w:gridCol w:w="673"/>
        <w:gridCol w:w="677"/>
        <w:gridCol w:w="532"/>
        <w:gridCol w:w="532"/>
        <w:gridCol w:w="532"/>
        <w:gridCol w:w="1568"/>
        <w:gridCol w:w="1568"/>
        <w:gridCol w:w="223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TRAUB</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Traub</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and Corporate Secretary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557</Words>
  <Characters>3163</Characters>
  <CharactersWithSpaces>3665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