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1060" w:right="3359" w:hanging="631"/>
        <w:spacing w:after="0" w:line="235" w:lineRule="auto"/>
        <w:tabs>
          <w:tab w:leader="none" w:pos="63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QUARTERLY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March 31, 1994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060" w:right="3259" w:hanging="631"/>
        <w:spacing w:after="0" w:line="235" w:lineRule="auto"/>
        <w:tabs>
          <w:tab w:leader="none" w:pos="7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____________ to ____________</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Commission file number 0-7154</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QUAKER CHEMICAL CORPORATION</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454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Pennsylvania</w:t>
            </w:r>
          </w:p>
        </w:tc>
        <w:tc>
          <w:tcPr>
            <w:tcW w:w="3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23-0993790</w:t>
            </w:r>
          </w:p>
        </w:tc>
      </w:tr>
      <w:tr>
        <w:trPr>
          <w:trHeight w:val="203"/>
        </w:trPr>
        <w:tc>
          <w:tcPr>
            <w:tcW w:w="454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w w:val="96"/>
              </w:rPr>
              <w:t>-------------------------------</w:t>
            </w:r>
          </w:p>
        </w:tc>
        <w:tc>
          <w:tcPr>
            <w:tcW w:w="32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3260" w:type="dxa"/>
            <w:vAlign w:val="bottom"/>
          </w:tcPr>
          <w:p>
            <w:pPr>
              <w:jc w:val="center"/>
              <w:ind w:left="10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54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32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Elm and Lee Streets, Conshohocken, Pennsylvania 19428 - 0809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380"/>
        <w:spacing w:after="0"/>
        <w:tabs>
          <w:tab w:leader="none" w:pos="60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610-832-4000</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30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Indicate by check mark whether the Registrant (1) has filed</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all</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reports required to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by Section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 or 15</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of the</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Securities Exchange Act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1934 during the preceding</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 months (or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such shorter period</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that the registrant</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was required to file</w:t>
            </w:r>
          </w:p>
        </w:tc>
      </w:tr>
    </w:tbl>
    <w:p>
      <w:pPr>
        <w:spacing w:after="0" w:line="238" w:lineRule="auto"/>
        <w:rPr>
          <w:sz w:val="20"/>
          <w:szCs w:val="20"/>
          <w:color w:val="auto"/>
        </w:rPr>
      </w:pPr>
      <w:r>
        <w:rPr>
          <w:rFonts w:ascii="Courier New" w:cs="Courier New" w:eastAsia="Courier New" w:hAnsi="Courier New"/>
          <w:sz w:val="18"/>
          <w:szCs w:val="18"/>
          <w:color w:val="auto"/>
        </w:rPr>
        <w:t>such reports), and (2) has been subject to such filing requirements</w:t>
      </w:r>
    </w:p>
    <w:p>
      <w:pPr>
        <w:spacing w:after="0"/>
        <w:tabs>
          <w:tab w:leader="none" w:pos="2420" w:val="left"/>
          <w:tab w:leader="none" w:pos="2940" w:val="left"/>
          <w:tab w:leader="none" w:pos="3560" w:val="left"/>
        </w:tabs>
        <w:rPr>
          <w:sz w:val="20"/>
          <w:szCs w:val="20"/>
          <w:color w:val="auto"/>
        </w:rPr>
      </w:pPr>
      <w:r>
        <w:rPr>
          <w:rFonts w:ascii="Courier New" w:cs="Courier New" w:eastAsia="Courier New" w:hAnsi="Courier New"/>
          <w:sz w:val="18"/>
          <w:szCs w:val="18"/>
          <w:color w:val="auto"/>
        </w:rPr>
        <w:t>for the past 90 days.</w:t>
        <w:tab/>
        <w:t>Yes</w:t>
        <w:tab/>
        <w:t>X</w:t>
      </w:r>
      <w:r>
        <w:rPr>
          <w:sz w:val="20"/>
          <w:szCs w:val="20"/>
          <w:color w:val="auto"/>
        </w:rPr>
        <w:tab/>
      </w:r>
      <w:r>
        <w:rPr>
          <w:rFonts w:ascii="Courier New" w:cs="Courier New" w:eastAsia="Courier New" w:hAnsi="Courier New"/>
          <w:sz w:val="18"/>
          <w:szCs w:val="18"/>
          <w:color w:val="auto"/>
        </w:rPr>
        <w:t>No</w:t>
      </w:r>
    </w:p>
    <w:p>
      <w:pPr>
        <w:ind w:left="2860"/>
        <w:spacing w:after="0" w:line="237" w:lineRule="auto"/>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3159" w:firstLine="527"/>
        <w:spacing w:after="0" w:line="236" w:lineRule="auto"/>
        <w:rPr>
          <w:sz w:val="20"/>
          <w:szCs w:val="20"/>
          <w:color w:val="auto"/>
        </w:rPr>
      </w:pPr>
      <w:r>
        <w:rPr>
          <w:rFonts w:ascii="Courier New" w:cs="Courier New" w:eastAsia="Courier New" w:hAnsi="Courier New"/>
          <w:sz w:val="18"/>
          <w:szCs w:val="18"/>
          <w:color w:val="auto"/>
        </w:rPr>
        <w:t>APPLICABLE ONLY TO CORPORATE ISSUERS: Indicate the number of shares outstanding of each of the issuer's classes of common stock, as of the latest practicable date.</w:t>
      </w:r>
    </w:p>
    <w:p>
      <w:pPr>
        <w:sectPr>
          <w:pgSz w:w="11900" w:h="16838" w:orient="portrait"/>
          <w:cols w:equalWidth="0" w:num="1">
            <w:col w:w="10219"/>
          </w:cols>
          <w:pgMar w:left="240" w:top="244" w:right="1440" w:bottom="0" w:gutter="0" w:footer="0" w:header="0"/>
        </w:sectPr>
      </w:pPr>
    </w:p>
    <w:p>
      <w:pPr>
        <w:spacing w:after="0" w:line="209" w:lineRule="exact"/>
        <w:rPr>
          <w:sz w:val="24"/>
          <w:szCs w:val="24"/>
          <w:color w:val="auto"/>
        </w:rPr>
      </w:pPr>
    </w:p>
    <w:p>
      <w:pPr>
        <w:ind w:left="540" w:right="120"/>
        <w:spacing w:after="0" w:line="290" w:lineRule="auto"/>
        <w:rPr>
          <w:sz w:val="20"/>
          <w:szCs w:val="20"/>
          <w:color w:val="auto"/>
        </w:rPr>
      </w:pPr>
      <w:r>
        <w:rPr>
          <w:rFonts w:ascii="Courier New" w:cs="Courier New" w:eastAsia="Courier New" w:hAnsi="Courier New"/>
          <w:sz w:val="16"/>
          <w:szCs w:val="16"/>
          <w:color w:val="auto"/>
        </w:rPr>
        <w:t>Number of Shares of Common Stock Outstanding on April 30, 1994</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9,260,785</w:t>
      </w:r>
    </w:p>
    <w:p>
      <w:pPr>
        <w:spacing w:after="0" w:line="4"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020" w:space="720"/>
            <w:col w:w="5479"/>
          </w:cols>
          <w:pgMar w:left="240" w:top="244" w:right="1440" w:bottom="0" w:gutter="0" w:footer="0" w:header="0"/>
          <w:type w:val="continuous"/>
        </w:sectPr>
      </w:pPr>
    </w:p>
    <w:p>
      <w:pPr>
        <w:spacing w:after="0" w:line="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This report contains a total of</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pages.</w:t>
      </w:r>
    </w:p>
    <w:p>
      <w:pPr>
        <w:spacing w:after="0" w:line="200" w:lineRule="exact"/>
        <w:rPr>
          <w:sz w:val="24"/>
          <w:szCs w:val="24"/>
          <w:color w:val="auto"/>
        </w:rPr>
      </w:pPr>
    </w:p>
    <w:p>
      <w:pPr>
        <w:sectPr>
          <w:pgSz w:w="11900" w:h="16838" w:orient="portrait"/>
          <w:cols w:equalWidth="0" w:num="3">
            <w:col w:w="3800" w:space="320"/>
            <w:col w:w="100" w:space="320"/>
            <w:col w:w="567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QUAKER CHEMICAL CORPORATION AND CONSOLIDATED SUBSIDIARIES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CONDENSED FINANCIAL INFORMATION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The following condensed financial statements are filed as part of this quarterly report on Form 10-Q:</w:t>
      </w: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Consolidated balance sheet at March 31, 1994 and</w:t>
      </w:r>
    </w:p>
    <w:p>
      <w:pPr>
        <w:ind w:left="1060"/>
        <w:spacing w:after="0" w:line="238" w:lineRule="auto"/>
        <w:rPr>
          <w:sz w:val="20"/>
          <w:szCs w:val="20"/>
          <w:color w:val="auto"/>
        </w:rPr>
      </w:pPr>
      <w:r>
        <w:rPr>
          <w:rFonts w:ascii="Courier New" w:cs="Courier New" w:eastAsia="Courier New" w:hAnsi="Courier New"/>
          <w:sz w:val="18"/>
          <w:szCs w:val="18"/>
          <w:color w:val="auto"/>
        </w:rPr>
        <w:t>December 31, 1993</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Consolidated statement of income for the three months</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2000"/>
        <w:spacing w:after="0"/>
        <w:rPr>
          <w:sz w:val="20"/>
          <w:szCs w:val="20"/>
          <w:color w:val="auto"/>
        </w:rPr>
      </w:pPr>
      <w:r>
        <w:rPr>
          <w:rFonts w:ascii="Courier New" w:cs="Courier New" w:eastAsia="Courier New" w:hAnsi="Courier New"/>
          <w:sz w:val="18"/>
          <w:szCs w:val="18"/>
          <w:color w:val="auto"/>
        </w:rPr>
        <w:t>ended March 31, 1994 and 1993</w:t>
      </w:r>
    </w:p>
    <w:p>
      <w:pPr>
        <w:spacing w:after="0" w:line="207" w:lineRule="exact"/>
        <w:rPr>
          <w:sz w:val="20"/>
          <w:szCs w:val="20"/>
          <w:color w:val="auto"/>
        </w:rPr>
      </w:pPr>
    </w:p>
    <w:p>
      <w:pPr>
        <w:ind w:left="2000" w:right="3159" w:hanging="947"/>
        <w:spacing w:after="0" w:line="235" w:lineRule="auto"/>
        <w:rPr>
          <w:sz w:val="20"/>
          <w:szCs w:val="20"/>
          <w:color w:val="auto"/>
        </w:rPr>
      </w:pPr>
      <w:r>
        <w:rPr>
          <w:rFonts w:ascii="Courier New" w:cs="Courier New" w:eastAsia="Courier New" w:hAnsi="Courier New"/>
          <w:sz w:val="18"/>
          <w:szCs w:val="18"/>
          <w:color w:val="auto"/>
        </w:rPr>
        <w:t>Consolidated statement of cash flows for the three months ended March 31, 1994 and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NOTE TO CONDENSED FINANCIAL INFORMATION</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159" w:firstLine="527"/>
        <w:spacing w:after="0" w:line="270" w:lineRule="auto"/>
        <w:rPr>
          <w:sz w:val="20"/>
          <w:szCs w:val="20"/>
          <w:color w:val="auto"/>
        </w:rPr>
      </w:pPr>
      <w:r>
        <w:rPr>
          <w:rFonts w:ascii="Courier New" w:cs="Courier New" w:eastAsia="Courier New" w:hAnsi="Courier New"/>
          <w:sz w:val="16"/>
          <w:szCs w:val="16"/>
          <w:color w:val="auto"/>
        </w:rPr>
        <w:t>The attached condensed financial information has been prepared in accordance with instructions for Form 10-Q and, therefore, does not include all financial note information which might be necessary for a fair presentation in accordance with generally accepted accounting principles. Such condensed financial information is unaudited, but in the opinion of management, includes all adjust-ments, consisting only of normal recurring adjustments and accruals, necessary for a fair presentation of results for the periods indicated. The net income reported for the periods should not necessarily be regarded as indicative of net income on an annualized basis; however, significant variations from the results for the same period of the previous year, if any, have been disclosed in the accompanying management's discussion and analysis.</w:t>
      </w:r>
    </w:p>
    <w:p>
      <w:pPr>
        <w:spacing w:after="0" w:line="200" w:lineRule="exact"/>
        <w:rPr>
          <w:sz w:val="20"/>
          <w:szCs w:val="20"/>
          <w:color w:val="auto"/>
        </w:rPr>
      </w:pPr>
    </w:p>
    <w:p>
      <w:pPr>
        <w:spacing w:after="0" w:line="38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36"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QUAKER CHEMICAL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BALANCE SHEET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(DOLLARS IN THOUSANDS)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(UNAUDITED)</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$ 15,354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$ 19,293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6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40,568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37,108</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WORK IN PROCESS AND FINISHED GOODS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9,902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9,278</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7,631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8,269</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2,857</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6,407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6,582</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82,276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84,387</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INVESTMENTS IN ASSOCIATED COMPANIES,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EQUITY</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9,992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6,224</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6,559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6,440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36,247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35,590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64,115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63,066</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3,581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110,502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107,076</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52,961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50,525</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57,541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56,551</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EXCESS OF COST OVER NET ASSETS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ACQUIRED COMPANIES, NET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14,373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14,472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4,792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4,019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4,563</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23,184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23,823</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$172,993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$170,985</w:t>
            </w:r>
          </w:p>
        </w:tc>
      </w:tr>
      <w:tr>
        <w:trPr>
          <w:trHeight w:val="203"/>
        </w:trPr>
        <w:tc>
          <w:tcPr>
            <w:tcW w:w="438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CONDENSED FROM AUDITED FINANCIAL STATEMENTS.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800" w:hanging="210"/>
        <w:spacing w:after="0"/>
        <w:tabs>
          <w:tab w:leader="none" w:pos="38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10219"/>
          </w:cols>
          <w:pgMar w:left="240" w:top="514" w:right="1440" w:bottom="1440" w:gutter="0" w:footer="0" w:header="0"/>
        </w:sectPr>
      </w:pPr>
    </w:p>
    <w:bookmarkStart w:id="3" w:name="page4"/>
    <w:bookmarkEnd w:id="3"/>
    <w:p>
      <w:pPr>
        <w:ind w:left="2320"/>
        <w:spacing w:after="0"/>
        <w:rPr>
          <w:sz w:val="20"/>
          <w:szCs w:val="20"/>
          <w:color w:val="auto"/>
        </w:rPr>
      </w:pPr>
      <w:r>
        <w:rPr>
          <w:rFonts w:ascii="Courier New" w:cs="Courier New" w:eastAsia="Courier New" w:hAnsi="Courier New"/>
          <w:sz w:val="18"/>
          <w:szCs w:val="18"/>
          <w:color w:val="auto"/>
        </w:rPr>
        <w:t>QUAKER CHEMICAL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BALANCE SHEET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(DOLLARS IN THOUSANDS)</w:t>
      </w:r>
    </w:p>
    <w:p>
      <w:pPr>
        <w:ind w:left="4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Courier New" w:cs="Courier New" w:eastAsia="Courier New" w:hAnsi="Courier New"/>
                <w:sz w:val="18"/>
                <w:szCs w:val="18"/>
                <w:color w:val="auto"/>
              </w:rPr>
              <w:t>MARCH 31,</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BORROWINGS AND CURRENT</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CAPITAL LEASE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8,969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4,953</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16,474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18,117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16,225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17,727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ESTIMATED TAXES ON INCOME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413</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43,252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42,642</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LONG-TERM DEBT AND CAPITAL LEASE</w:t>
            </w: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14,338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16,095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ON INCOME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3,043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POSTRETIREMENT BENEFITS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9,043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8,968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6,947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6,840</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33,332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34,946</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76,584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77,588</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MINORITY INTEREST IN EQUITY OF SUBSIDIARIES</w:t>
            </w: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2,225</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2,014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$1 PAR VALUE: AUTHORIZED</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30,000,000 SHARES: ISSUED (INCLUDING</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TREASURY SHARES) 9,664,009 SHARES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9,664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9,664</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529</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84,301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83,498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ADJUSTMENT FROM FOREIGN</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CURRENCY TRANSLATION</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5,318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3,577</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99,852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97,268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SHARES HELD AT COST;</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1994 - 405,611, 1993 - 458,375</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(5,668)</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(5,885)</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94,184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91,383</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$172,993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$170,985</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CONDENSED FROM AUDITED FINANCIAL STATEMENTS.</w:t>
      </w:r>
    </w:p>
    <w:p>
      <w:pPr>
        <w:spacing w:after="0" w:line="201" w:lineRule="exact"/>
        <w:rPr>
          <w:rFonts w:ascii="Courier New" w:cs="Courier New" w:eastAsia="Courier New" w:hAnsi="Courier New"/>
          <w:sz w:val="18"/>
          <w:szCs w:val="18"/>
          <w:color w:val="auto"/>
        </w:rPr>
      </w:pPr>
    </w:p>
    <w:p>
      <w:pPr>
        <w:ind w:left="3700" w:hanging="216"/>
        <w:spacing w:after="0"/>
        <w:tabs>
          <w:tab w:leader="none" w:pos="3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10219"/>
          </w:cols>
          <w:pgMar w:left="240" w:top="514" w:right="1440" w:bottom="1440" w:gutter="0" w:footer="0" w:header="0"/>
        </w:sectPr>
      </w:pPr>
    </w:p>
    <w:bookmarkStart w:id="4" w:name="page5"/>
    <w:bookmarkEnd w:id="4"/>
    <w:p>
      <w:pPr>
        <w:ind w:left="2320"/>
        <w:spacing w:after="0"/>
        <w:rPr>
          <w:sz w:val="20"/>
          <w:szCs w:val="20"/>
          <w:color w:val="auto"/>
        </w:rPr>
      </w:pPr>
      <w:r>
        <w:rPr>
          <w:rFonts w:ascii="Courier New" w:cs="Courier New" w:eastAsia="Courier New" w:hAnsi="Courier New"/>
          <w:sz w:val="18"/>
          <w:szCs w:val="18"/>
          <w:color w:val="auto"/>
        </w:rPr>
        <w:t>QUAKER CHEMICAL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CONSOLIDATED STATEMENT OF INCOME</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FOR THE PERIOD ENDED MARCH 31,</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gridSpan w:val="3"/>
          </w:tcPr>
          <w:p>
            <w:pPr>
              <w:jc w:val="right"/>
              <w:ind w:right="77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(DOLLARS IN THOUSANDS</w:t>
            </w:r>
          </w:p>
        </w:tc>
      </w:tr>
      <w:tr>
        <w:trPr>
          <w:trHeight w:val="203"/>
        </w:trPr>
        <w:tc>
          <w:tcPr>
            <w:tcW w:w="428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EXCEPT PER SHARE FIGURES)</w:t>
            </w:r>
          </w:p>
        </w:tc>
      </w:tr>
      <w:tr>
        <w:trPr>
          <w:trHeight w:val="203"/>
        </w:trPr>
        <w:tc>
          <w:tcPr>
            <w:tcW w:w="4280" w:type="dxa"/>
            <w:vAlign w:val="bottom"/>
          </w:tcPr>
          <w:p>
            <w:pPr>
              <w:spacing w:after="0"/>
              <w:rPr>
                <w:sz w:val="17"/>
                <w:szCs w:val="17"/>
                <w:color w:val="auto"/>
              </w:rPr>
            </w:pPr>
          </w:p>
        </w:tc>
        <w:tc>
          <w:tcPr>
            <w:tcW w:w="290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SALES</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45,093</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48,361</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358</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42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45,451</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48,564</w:t>
            </w:r>
          </w:p>
        </w:tc>
      </w:tr>
      <w:tr>
        <w:trPr>
          <w:trHeight w:val="203"/>
        </w:trPr>
        <w:tc>
          <w:tcPr>
            <w:tcW w:w="42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25,383</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27,822</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ADMINISTRATIVE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GENERAL EXPENSES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16,354</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16,945</w:t>
            </w:r>
          </w:p>
        </w:tc>
      </w:tr>
      <w:tr>
        <w:trPr>
          <w:trHeight w:val="203"/>
        </w:trPr>
        <w:tc>
          <w:tcPr>
            <w:tcW w:w="42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41,737</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44,767</w:t>
            </w:r>
          </w:p>
        </w:tc>
      </w:tr>
      <w:tr>
        <w:trPr>
          <w:trHeight w:val="203"/>
        </w:trPr>
        <w:tc>
          <w:tcPr>
            <w:tcW w:w="42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3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3,714</w:t>
            </w:r>
          </w:p>
        </w:tc>
        <w:tc>
          <w:tcPr>
            <w:tcW w:w="2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3,797</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3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(330)</w:t>
            </w:r>
          </w:p>
        </w:tc>
        <w:tc>
          <w:tcPr>
            <w:tcW w:w="26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469</w:t>
            </w:r>
          </w:p>
        </w:tc>
      </w:tr>
      <w:tr>
        <w:trPr>
          <w:trHeight w:val="203"/>
        </w:trPr>
        <w:tc>
          <w:tcPr>
            <w:tcW w:w="42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TAXES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3,520</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3,886</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TAXES ON INCOME</w:t>
            </w:r>
          </w:p>
        </w:tc>
        <w:tc>
          <w:tcPr>
            <w:tcW w:w="3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1,408</w:t>
            </w:r>
          </w:p>
        </w:tc>
        <w:tc>
          <w:tcPr>
            <w:tcW w:w="2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1,477</w:t>
            </w:r>
          </w:p>
        </w:tc>
      </w:tr>
      <w:tr>
        <w:trPr>
          <w:trHeight w:val="203"/>
        </w:trPr>
        <w:tc>
          <w:tcPr>
            <w:tcW w:w="42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2,112</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2,409</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EQUITY IN NET INCOME OF ASSOCIATED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COMPANIES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237</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 NET INCOME OF</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SUBSIDIARIES</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42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2,249</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2,724</w:t>
            </w:r>
          </w:p>
        </w:tc>
      </w:tr>
      <w:tr>
        <w:trPr>
          <w:trHeight w:val="203"/>
        </w:trPr>
        <w:tc>
          <w:tcPr>
            <w:tcW w:w="42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PER SHARE: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$0.24</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$0.16</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$0.15</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BASED ON WEIGHTED AVERAGE NUMBER</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SHARES OUTSTANDING</w:t>
            </w: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9,252,727</w:t>
            </w:r>
          </w:p>
        </w:tc>
        <w:tc>
          <w:tcPr>
            <w:tcW w:w="2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9,198,536</w:t>
            </w:r>
          </w:p>
        </w:tc>
      </w:tr>
      <w:tr>
        <w:trPr>
          <w:trHeight w:val="810"/>
        </w:trPr>
        <w:tc>
          <w:tcPr>
            <w:tcW w:w="4280" w:type="dxa"/>
            <w:vAlign w:val="bottom"/>
          </w:tcPr>
          <w:p>
            <w:pPr>
              <w:ind w:left="3480"/>
              <w:spacing w:after="0"/>
              <w:rPr>
                <w:sz w:val="20"/>
                <w:szCs w:val="20"/>
                <w:color w:val="auto"/>
              </w:rPr>
            </w:pPr>
            <w:r>
              <w:rPr>
                <w:rFonts w:ascii="Courier New" w:cs="Courier New" w:eastAsia="Courier New" w:hAnsi="Courier New"/>
                <w:sz w:val="18"/>
                <w:szCs w:val="18"/>
                <w:color w:val="auto"/>
              </w:rPr>
              <w:t>- 5 -</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5" w:name="page6"/>
    <w:bookmarkEnd w:id="5"/>
    <w:p>
      <w:pPr>
        <w:ind w:left="2320"/>
        <w:spacing w:after="0"/>
        <w:rPr>
          <w:sz w:val="20"/>
          <w:szCs w:val="20"/>
          <w:color w:val="auto"/>
        </w:rPr>
      </w:pPr>
      <w:r>
        <w:rPr>
          <w:rFonts w:ascii="Courier New" w:cs="Courier New" w:eastAsia="Courier New" w:hAnsi="Courier New"/>
          <w:sz w:val="18"/>
          <w:szCs w:val="18"/>
          <w:color w:val="auto"/>
        </w:rPr>
        <w:t>QUAKER CHEMICAL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CONSOLIDATED STATEMENT OF CASH FLOWS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 THE PERIOD ENDED MARCH 31,</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58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380" w:type="dxa"/>
            <w:vAlign w:val="bottom"/>
          </w:tcPr>
          <w:p>
            <w:pPr>
              <w:spacing w:after="0"/>
              <w:rPr>
                <w:sz w:val="17"/>
                <w:szCs w:val="17"/>
                <w:color w:val="auto"/>
              </w:rPr>
            </w:pP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(DOLLARS IN THOUSANDS)</w:t>
            </w:r>
          </w:p>
        </w:tc>
      </w:tr>
      <w:tr>
        <w:trPr>
          <w:trHeight w:val="203"/>
        </w:trPr>
        <w:tc>
          <w:tcPr>
            <w:tcW w:w="4380" w:type="dxa"/>
            <w:vAlign w:val="bottom"/>
          </w:tcPr>
          <w:p>
            <w:pPr>
              <w:spacing w:after="0"/>
              <w:rPr>
                <w:sz w:val="17"/>
                <w:szCs w:val="17"/>
                <w:color w:val="auto"/>
              </w:rPr>
            </w:pP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3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 (1,105)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2,681</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FROM ASSOCIATED COMPANIES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551</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 ASSOCIATED COMPANY</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(3,319)</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PROPERTY, PLANT</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EQUIPMENT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(2,147)</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ACTIVITIES</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(3,868)</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(1,495)</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DEBT INCURRED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 INCURRED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SHORT-TERM DEBT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(49)</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(1,667)</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CAPITAL LEASE</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(101)</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(1,433)</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(1,379)</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ISSUED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256</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FROM FINANCING</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ACTIVITIES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1,003</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282</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CASH AND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(3,939)</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1,290</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CASH AND CASH EQUIVALENTS AT:</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19,293</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24,373</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OF PERIOD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$ 15,354</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$ 25,663</w:t>
            </w:r>
          </w:p>
        </w:tc>
      </w:tr>
      <w:tr>
        <w:trPr>
          <w:trHeight w:val="203"/>
        </w:trPr>
        <w:tc>
          <w:tcPr>
            <w:tcW w:w="4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FOR:</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1,264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1,237</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556</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650</w:t>
            </w:r>
          </w:p>
        </w:tc>
      </w:tr>
    </w:tbl>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 * * * * * * * * *</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717" w:right="1440" w:bottom="1440" w:gutter="0" w:footer="0" w:header="0"/>
        </w:sectPr>
      </w:pPr>
    </w:p>
    <w:bookmarkStart w:id="6" w:name="page7"/>
    <w:bookmarkEnd w:id="6"/>
    <w:p>
      <w:pPr>
        <w:ind w:left="1800"/>
        <w:spacing w:after="0"/>
        <w:rPr>
          <w:sz w:val="20"/>
          <w:szCs w:val="20"/>
          <w:color w:val="auto"/>
        </w:rPr>
      </w:pPr>
      <w:r>
        <w:rPr>
          <w:rFonts w:ascii="Courier New" w:cs="Courier New" w:eastAsia="Courier New" w:hAnsi="Courier New"/>
          <w:sz w:val="18"/>
          <w:szCs w:val="18"/>
          <w:color w:val="auto"/>
        </w:rPr>
        <w:t>Management's Discussion and Analysis of</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Financial Condition and Results of Operations</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firstLine="421"/>
        <w:spacing w:after="0" w:line="270" w:lineRule="auto"/>
        <w:rPr>
          <w:sz w:val="20"/>
          <w:szCs w:val="20"/>
          <w:color w:val="auto"/>
        </w:rPr>
      </w:pPr>
      <w:r>
        <w:rPr>
          <w:rFonts w:ascii="Courier New" w:cs="Courier New" w:eastAsia="Courier New" w:hAnsi="Courier New"/>
          <w:sz w:val="16"/>
          <w:szCs w:val="16"/>
          <w:color w:val="auto"/>
        </w:rPr>
        <w:t>The working capital ratio at March 31, 1994 was 1.9 to 1 as compared to 2.0 to 1 at December 31, 1993, reflecting the continuation of an adequate level of liquidity necessary to support operations. The company's net cash position (cash and cash equivalents plus short-term investments less short-term borrowings and current portion of long-term debt and capital lease) declined $9.0 million during the quarter. This was due primarily to a cash investment of approximately $3.3 million in a joint venture and increased short-term borrowings in the U.S. associated with (i) seasonal cash needs, (ii) the replacement of maturing long-term obligations with short-term debt, and (iii) increases in non-cash (primarily accounts receivable) working capital. Working capital decreased $2.7 million during the quarter mainly as a result of the aforementioned reduction in net cash.</w:t>
      </w:r>
    </w:p>
    <w:p>
      <w:pPr>
        <w:spacing w:after="0" w:line="391" w:lineRule="exact"/>
        <w:rPr>
          <w:sz w:val="20"/>
          <w:szCs w:val="20"/>
          <w:color w:val="auto"/>
        </w:rPr>
      </w:pPr>
    </w:p>
    <w:p>
      <w:pPr>
        <w:ind w:right="2619" w:firstLine="421"/>
        <w:spacing w:after="0" w:line="237" w:lineRule="auto"/>
        <w:rPr>
          <w:sz w:val="20"/>
          <w:szCs w:val="20"/>
          <w:color w:val="auto"/>
        </w:rPr>
      </w:pPr>
      <w:r>
        <w:rPr>
          <w:rFonts w:ascii="Courier New" w:cs="Courier New" w:eastAsia="Courier New" w:hAnsi="Courier New"/>
          <w:sz w:val="18"/>
          <w:szCs w:val="18"/>
          <w:color w:val="auto"/>
        </w:rPr>
        <w:t>During March, 1994, the company entered into an agreement for the creation of the above-noted joint venture with Fluid Recycling Services Company which is expected to enhance the Total Fluid Management (TFM) capabilities of the company. In addition to the initial contribution, additional investments are expected over the next few years based on the growth of the venture.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Comparison of First Quarter 1994 with First Quarter 1993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firstLine="421"/>
        <w:spacing w:after="0" w:line="238" w:lineRule="auto"/>
        <w:rPr>
          <w:sz w:val="20"/>
          <w:szCs w:val="20"/>
          <w:color w:val="auto"/>
        </w:rPr>
      </w:pPr>
      <w:r>
        <w:rPr>
          <w:rFonts w:ascii="Courier New" w:cs="Courier New" w:eastAsia="Courier New" w:hAnsi="Courier New"/>
          <w:sz w:val="18"/>
          <w:szCs w:val="18"/>
          <w:color w:val="auto"/>
        </w:rPr>
        <w:t>Consolidated net sales for the first quarter of 1994 decreased $3.3 million (7%) while income from operations decreased $.1 million (2%) when compared to the first quarter of 1993. The decrease in sales was due to a 3% decline in volume; a 2% reduction associated with currency translation; and declines of 1% each from price and product mix, and the net result of acquisitions and divestitures. The decrease in the volume for the quarter was mainly a result of a reduction in orders shipped to the People's Republic of China (PRC) as that country worked down an earlier inventory buildup; the European recession's impact on customer production levels, particularly in the steel and automotive markets of Southern Europe; and the adverse effect of the continued slump in the aircraft and aerospace industry. Shipments to the PRC are expected to resume in the second quarter, hopefully, under a more consistent order pattern. The company continues to be challenged with pricing pressures in key markets and increased customer efficiencies in the usage of chemical products. While operating conditions in the United States appear healthy, uncertainty exists as to whether or not the current pace of industrial activity can continue given the Federal Reserve Board's recent actions to restrain inflation. In Europe, though there have been modest signs of improvement in some of our markets, it is difficult to predict the timing of an overall recovery.</w:t>
      </w: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717" w:right="1440" w:bottom="1440" w:gutter="0" w:footer="0" w:header="0"/>
        </w:sectPr>
      </w:pPr>
    </w:p>
    <w:bookmarkStart w:id="7" w:name="page8"/>
    <w:bookmarkEnd w:id="7"/>
    <w:p>
      <w:pPr>
        <w:ind w:right="2319" w:firstLine="421"/>
        <w:spacing w:after="0" w:line="238" w:lineRule="auto"/>
        <w:rPr>
          <w:sz w:val="20"/>
          <w:szCs w:val="20"/>
          <w:color w:val="auto"/>
        </w:rPr>
      </w:pPr>
      <w:r>
        <w:rPr>
          <w:rFonts w:ascii="Courier New" w:cs="Courier New" w:eastAsia="Courier New" w:hAnsi="Courier New"/>
          <w:sz w:val="18"/>
          <w:szCs w:val="18"/>
          <w:color w:val="auto"/>
        </w:rPr>
        <w:t>Operating margins as a percentage of sales were comparable to first quarter 1993 as improved sales mix, lower raw material costs, and cost savings associated with the company's 1993 repositioning program offset the negative leverage effect of fixed costs on reduced sales volume. The after-tax financial benefit generated in the first quarter 1994 from the 1993 repositioning program was approximately $.05 per share. Interest income declined mainly as a result of lower cash holdings by the company. The effective tax rate in the first quarter of 1994 increased slightly versus first quarter 1993 primarily as a result of foreign taxes on earnings at rates different than the U.S. federal tax rates. The decrease in equity in net income from associated companies was primarily due to lower earnings from the company's Japanese affiliate which is being hampered by sluggish demand in the Japanese steel industry. The negative influence of currency translation on first quarter 1994 net income was $.01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723" w:right="1440" w:bottom="1440" w:gutter="0" w:footer="0" w:header="0"/>
        </w:sectPr>
      </w:pPr>
    </w:p>
    <w:bookmarkStart w:id="8" w:name="page9"/>
    <w:bookmarkEnd w:id="8"/>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Items 1-5 are inapplicable and have been omitted.</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2120" w:hanging="532"/>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rFonts w:ascii="Courier New" w:cs="Courier New" w:eastAsia="Courier New" w:hAnsi="Courier New"/>
          <w:sz w:val="18"/>
          <w:szCs w:val="18"/>
          <w:color w:val="auto"/>
        </w:rPr>
      </w:pPr>
    </w:p>
    <w:p>
      <w:pPr>
        <w:ind w:left="2120" w:right="3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 report on Form 8-K was filed during the quarter for which this report is filed.</w:t>
      </w:r>
    </w:p>
    <w:p>
      <w:pPr>
        <w:spacing w:after="0" w:line="200" w:lineRule="exact"/>
        <w:rPr>
          <w:sz w:val="20"/>
          <w:szCs w:val="20"/>
          <w:color w:val="auto"/>
        </w:rPr>
      </w:pPr>
    </w:p>
    <w:p>
      <w:pPr>
        <w:spacing w:after="0" w:line="369" w:lineRule="exact"/>
        <w:rPr>
          <w:sz w:val="20"/>
          <w:szCs w:val="20"/>
          <w:color w:val="auto"/>
        </w:rPr>
      </w:pPr>
    </w:p>
    <w:p>
      <w:pPr>
        <w:ind w:left="2540"/>
        <w:spacing w:after="0"/>
        <w:tabs>
          <w:tab w:leader="none" w:pos="2840" w:val="left"/>
          <w:tab w:leader="none" w:pos="3140" w:val="left"/>
          <w:tab w:leader="none" w:pos="3460" w:val="left"/>
          <w:tab w:leader="none" w:pos="3780" w:val="left"/>
          <w:tab w:leader="none" w:pos="4100" w:val="left"/>
          <w:tab w:leader="none" w:pos="4420" w:val="left"/>
          <w:tab w:leader="none" w:pos="4720" w:val="left"/>
          <w:tab w:leader="none" w:pos="5040" w:val="left"/>
        </w:tabs>
        <w:rPr>
          <w:sz w:val="20"/>
          <w:szCs w:val="20"/>
          <w:color w:val="auto"/>
        </w:rPr>
      </w:pPr>
      <w:r>
        <w:rPr>
          <w:rFonts w:ascii="Courier New" w:cs="Courier New" w:eastAsia="Courier New" w:hAnsi="Courier New"/>
          <w:sz w:val="18"/>
          <w:szCs w:val="18"/>
          <w:color w:val="auto"/>
        </w:rPr>
        <w:t>*</w:t>
        <w:tab/>
        <w:t>*</w:t>
        <w:tab/>
        <w:t>*</w:t>
        <w:tab/>
        <w:t>*</w:t>
        <w:tab/>
        <w:t>*</w:t>
        <w:tab/>
        <w:t>*</w:t>
        <w:tab/>
        <w:t>*</w:t>
        <w:tab/>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ind w:right="315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QUAKER CHEMICAL CORPORATION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JOSEPH F. SPANIER</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Joseph F. Spanier, officer duly</w:t>
      </w:r>
    </w:p>
    <w:p>
      <w:pPr>
        <w:ind w:left="3160"/>
        <w:spacing w:after="0" w:line="238" w:lineRule="auto"/>
        <w:rPr>
          <w:sz w:val="20"/>
          <w:szCs w:val="20"/>
          <w:color w:val="auto"/>
        </w:rPr>
      </w:pPr>
      <w:r>
        <w:rPr>
          <w:rFonts w:ascii="Courier New" w:cs="Courier New" w:eastAsia="Courier New" w:hAnsi="Courier New"/>
          <w:sz w:val="18"/>
          <w:szCs w:val="18"/>
          <w:color w:val="auto"/>
        </w:rPr>
        <w:t>authorized to sign this report,</w:t>
      </w:r>
    </w:p>
    <w:p>
      <w:pPr>
        <w:ind w:left="3160"/>
        <w:spacing w:after="0"/>
        <w:rPr>
          <w:sz w:val="20"/>
          <w:szCs w:val="20"/>
          <w:color w:val="auto"/>
        </w:rPr>
      </w:pPr>
      <w:r>
        <w:rPr>
          <w:rFonts w:ascii="Courier New" w:cs="Courier New" w:eastAsia="Courier New" w:hAnsi="Courier New"/>
          <w:sz w:val="18"/>
          <w:szCs w:val="18"/>
          <w:color w:val="auto"/>
        </w:rPr>
        <w:t>Corporate Controller and</w:t>
      </w:r>
    </w:p>
    <w:p>
      <w:pPr>
        <w:ind w:left="3160"/>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13, 1994</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- 9 -</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2019-12-13T06:35:51Z</dcterms:created>
  <dcterms:modified xsi:type="dcterms:W3CDTF">2019-12-13T06:35:51Z</dcterms:modified>
</cp:coreProperties>
</file>