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OCTOBER 18, 2000</w:t>
      </w:r>
    </w:p>
    <w:p>
      <w:pPr>
        <w:spacing w:after="0" w:line="201" w:lineRule="exact"/>
        <w:rPr>
          <w:sz w:val="24"/>
          <w:szCs w:val="24"/>
          <w:color w:val="auto"/>
        </w:rPr>
      </w:pPr>
    </w:p>
    <w:p>
      <w:pPr>
        <w:ind w:left="5600"/>
        <w:spacing w:after="0"/>
        <w:tabs>
          <w:tab w:leader="none" w:pos="7460" w:val="left"/>
        </w:tabs>
        <w:rPr>
          <w:sz w:val="20"/>
          <w:szCs w:val="20"/>
          <w:color w:val="auto"/>
        </w:rPr>
      </w:pPr>
      <w:r>
        <w:rPr>
          <w:rFonts w:ascii="Courier New" w:cs="Courier New" w:eastAsia="Courier New" w:hAnsi="Courier New"/>
          <w:sz w:val="18"/>
          <w:szCs w:val="18"/>
          <w:color w:val="auto"/>
        </w:rPr>
        <w:t>REGISTRATION NO.</w:t>
      </w:r>
      <w:r>
        <w:rPr>
          <w:sz w:val="20"/>
          <w:szCs w:val="20"/>
          <w:color w:val="auto"/>
        </w:rPr>
        <w:tab/>
      </w:r>
      <w:r>
        <w:rPr>
          <w:rFonts w:ascii="Courier New" w:cs="Courier New" w:eastAsia="Courier New" w:hAnsi="Courier New"/>
          <w:sz w:val="16"/>
          <w:szCs w:val="16"/>
          <w:color w:val="auto"/>
        </w:rPr>
        <w:t>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ind w:left="2000"/>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00"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8"/>
          <w:szCs w:val="18"/>
          <w:color w:val="auto"/>
        </w:rPr>
        <w:t>FORM S-8</w:t>
      </w:r>
    </w:p>
    <w:p>
      <w:pPr>
        <w:jc w:val="center"/>
        <w:ind w:right="2960"/>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2960"/>
        <w:spacing w:after="0"/>
        <w:rPr>
          <w:sz w:val="20"/>
          <w:szCs w:val="20"/>
          <w:color w:val="auto"/>
        </w:rPr>
      </w:pPr>
      <w:r>
        <w:rPr>
          <w:rFonts w:ascii="Courier New" w:cs="Courier New" w:eastAsia="Courier New" w:hAnsi="Courier New"/>
          <w:sz w:val="18"/>
          <w:szCs w:val="18"/>
          <w:color w:val="auto"/>
        </w:rPr>
        <w:t>UNDER THE SECURITIES ACT OF 1933</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w:t>
      </w:r>
    </w:p>
    <w:p>
      <w:pPr>
        <w:spacing w:after="0" w:line="202"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QUAKER CHEMICAL CORPORATION</w:t>
      </w:r>
    </w:p>
    <w:p>
      <w:pPr>
        <w:jc w:val="center"/>
        <w:ind w:right="29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760"/>
          </w:cols>
          <w:pgMar w:left="240" w:top="649" w:right="899" w:bottom="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PENNSYLVANIA</w:t>
      </w:r>
    </w:p>
    <w:p>
      <w:pPr>
        <w:ind w:left="64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23-0993790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660" w:space="720"/>
            <w:col w:w="5380"/>
          </w:cols>
          <w:pgMar w:left="240" w:top="649" w:right="899" w:bottom="0" w:gutter="0" w:footer="0" w:header="0"/>
          <w:type w:val="continuous"/>
        </w:sect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ELM AND LEE STREETS, CONSHOHOCKEN, PENNSYLVANIA 19428</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INCLUDING ZIP CODE, OF REGISTRANT'S PRINCIPAL EXECUTIVE OFFICES)</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1"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8"/>
          <w:szCs w:val="18"/>
          <w:color w:val="auto"/>
        </w:rPr>
        <w:t>QUAKER CHEMICAL CORPORATION</w:t>
      </w:r>
    </w:p>
    <w:p>
      <w:pPr>
        <w:ind w:left="2000"/>
        <w:spacing w:after="0" w:line="238" w:lineRule="auto"/>
        <w:rPr>
          <w:sz w:val="20"/>
          <w:szCs w:val="20"/>
          <w:color w:val="auto"/>
        </w:rPr>
      </w:pPr>
      <w:r>
        <w:rPr>
          <w:rFonts w:ascii="Courier New" w:cs="Courier New" w:eastAsia="Courier New" w:hAnsi="Courier New"/>
          <w:sz w:val="18"/>
          <w:szCs w:val="18"/>
          <w:color w:val="auto"/>
        </w:rPr>
        <w:t>2000 EMPLOYEE STOCK PURCHASE PLAN</w:t>
      </w:r>
    </w:p>
    <w:p>
      <w:pPr>
        <w:ind w:left="2640"/>
        <w:spacing w:after="0"/>
        <w:rPr>
          <w:sz w:val="20"/>
          <w:szCs w:val="20"/>
          <w:color w:val="auto"/>
        </w:rPr>
      </w:pPr>
      <w:r>
        <w:rPr>
          <w:rFonts w:ascii="Courier New" w:cs="Courier New" w:eastAsia="Courier New" w:hAnsi="Courier New"/>
          <w:sz w:val="18"/>
          <w:szCs w:val="18"/>
          <w:color w:val="auto"/>
        </w:rPr>
        <w:t>(FULL TITLE OF THE PLAN)</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RONALD J. NAPLES</w:t>
      </w:r>
    </w:p>
    <w:p>
      <w:pPr>
        <w:ind w:left="2000"/>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ind w:left="2440"/>
        <w:spacing w:after="0"/>
        <w:rPr>
          <w:sz w:val="20"/>
          <w:szCs w:val="20"/>
          <w:color w:val="auto"/>
        </w:rPr>
      </w:pPr>
      <w:r>
        <w:rPr>
          <w:rFonts w:ascii="Courier New" w:cs="Courier New" w:eastAsia="Courier New" w:hAnsi="Courier New"/>
          <w:sz w:val="18"/>
          <w:szCs w:val="18"/>
          <w:color w:val="auto"/>
        </w:rPr>
        <w:t>QUAKER CHEMICAL CORPORATION</w:t>
      </w:r>
    </w:p>
    <w:p>
      <w:pPr>
        <w:ind w:left="2860"/>
        <w:spacing w:after="0" w:line="237" w:lineRule="auto"/>
        <w:rPr>
          <w:sz w:val="20"/>
          <w:szCs w:val="20"/>
          <w:color w:val="auto"/>
        </w:rPr>
      </w:pPr>
      <w:r>
        <w:rPr>
          <w:rFonts w:ascii="Courier New" w:cs="Courier New" w:eastAsia="Courier New" w:hAnsi="Courier New"/>
          <w:sz w:val="18"/>
          <w:szCs w:val="18"/>
          <w:color w:val="auto"/>
        </w:rPr>
        <w:t>ELM AND LEE STREETS</w:t>
      </w:r>
    </w:p>
    <w:p>
      <w:pPr>
        <w:ind w:left="2220"/>
        <w:spacing w:after="0" w:line="238" w:lineRule="auto"/>
        <w:rPr>
          <w:sz w:val="20"/>
          <w:szCs w:val="20"/>
          <w:color w:val="auto"/>
        </w:rPr>
      </w:pPr>
      <w:r>
        <w:rPr>
          <w:rFonts w:ascii="Courier New" w:cs="Courier New" w:eastAsia="Courier New" w:hAnsi="Courier New"/>
          <w:sz w:val="18"/>
          <w:szCs w:val="18"/>
          <w:color w:val="auto"/>
        </w:rPr>
        <w:t>CONSHOHOCKEN, PENNSYLVANIA 19428</w:t>
      </w:r>
    </w:p>
    <w:p>
      <w:pPr>
        <w:ind w:left="3160"/>
        <w:spacing w:after="0"/>
        <w:rPr>
          <w:sz w:val="20"/>
          <w:szCs w:val="20"/>
          <w:color w:val="auto"/>
        </w:rPr>
      </w:pPr>
      <w:r>
        <w:rPr>
          <w:rFonts w:ascii="Courier New" w:cs="Courier New" w:eastAsia="Courier New" w:hAnsi="Courier New"/>
          <w:sz w:val="18"/>
          <w:szCs w:val="18"/>
          <w:color w:val="auto"/>
        </w:rPr>
        <w:t>(610) 832-4000</w:t>
      </w:r>
    </w:p>
    <w:p>
      <w:pPr>
        <w:ind w:left="860"/>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w:t>
      </w:r>
    </w:p>
    <w:p>
      <w:pPr>
        <w:ind w:left="1700"/>
        <w:spacing w:after="0"/>
        <w:rPr>
          <w:sz w:val="20"/>
          <w:szCs w:val="20"/>
          <w:color w:val="auto"/>
        </w:rPr>
      </w:pPr>
      <w:r>
        <w:rPr>
          <w:rFonts w:ascii="Courier New" w:cs="Courier New" w:eastAsia="Courier New" w:hAnsi="Courier New"/>
          <w:sz w:val="18"/>
          <w:szCs w:val="18"/>
          <w:color w:val="auto"/>
        </w:rPr>
        <w:t>INCLUDING AREA CODE, OF AGENT FOR SERVICE)</w:t>
      </w:r>
    </w:p>
    <w:p>
      <w:pPr>
        <w:ind w:left="2000"/>
        <w:spacing w:after="0" w:line="237"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760"/>
          </w:cols>
          <w:pgMar w:left="240" w:top="649" w:right="899" w:bottom="0" w:gutter="0" w:footer="0" w:header="0"/>
          <w:type w:val="continuous"/>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Bradley S. Rodos, Esquire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Fox, Rothschild, O'Brien &amp; Frankel, LLP</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2000 Market Street, 10th Floor</w:t>
      </w:r>
    </w:p>
    <w:p>
      <w:pPr>
        <w:ind w:left="540"/>
        <w:spacing w:after="0" w:line="238" w:lineRule="auto"/>
        <w:rPr>
          <w:sz w:val="20"/>
          <w:szCs w:val="20"/>
          <w:color w:val="auto"/>
        </w:rPr>
      </w:pPr>
      <w:r>
        <w:rPr>
          <w:rFonts w:ascii="Courier New" w:cs="Courier New" w:eastAsia="Courier New" w:hAnsi="Courier New"/>
          <w:sz w:val="18"/>
          <w:szCs w:val="18"/>
          <w:color w:val="auto"/>
        </w:rPr>
        <w:t>Philadelphia, Pennsylvania 19103</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 Jeffry Benoliel, Esquire</w:t>
      </w:r>
    </w:p>
    <w:p>
      <w:pPr>
        <w:ind w:left="1280"/>
        <w:spacing w:after="0" w:line="238" w:lineRule="auto"/>
        <w:rPr>
          <w:sz w:val="20"/>
          <w:szCs w:val="20"/>
          <w:color w:val="auto"/>
        </w:rPr>
      </w:pPr>
      <w:r>
        <w:rPr>
          <w:rFonts w:ascii="Courier New" w:cs="Courier New" w:eastAsia="Courier New" w:hAnsi="Courier New"/>
          <w:sz w:val="18"/>
          <w:szCs w:val="18"/>
          <w:color w:val="auto"/>
        </w:rPr>
        <w:t>Secretary</w:t>
      </w:r>
    </w:p>
    <w:p>
      <w:pPr>
        <w:ind w:left="320"/>
        <w:spacing w:after="0"/>
        <w:rPr>
          <w:sz w:val="20"/>
          <w:szCs w:val="20"/>
          <w:color w:val="auto"/>
        </w:rPr>
      </w:pPr>
      <w:r>
        <w:rPr>
          <w:rFonts w:ascii="Courier New" w:cs="Courier New" w:eastAsia="Courier New" w:hAnsi="Courier New"/>
          <w:sz w:val="18"/>
          <w:szCs w:val="18"/>
          <w:color w:val="auto"/>
        </w:rPr>
        <w:t>Quaker Chemical Corporation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Conshohocken, Pennsylvania 19428</w:t>
      </w:r>
    </w:p>
    <w:p>
      <w:pPr>
        <w:spacing w:after="0" w:line="216" w:lineRule="exact"/>
        <w:rPr>
          <w:sz w:val="24"/>
          <w:szCs w:val="24"/>
          <w:color w:val="auto"/>
        </w:rPr>
      </w:pPr>
    </w:p>
    <w:p>
      <w:pPr>
        <w:sectPr>
          <w:pgSz w:w="11900" w:h="16838" w:orient="portrait"/>
          <w:cols w:equalWidth="0" w:num="2">
            <w:col w:w="4320" w:space="420"/>
            <w:col w:w="6020"/>
          </w:cols>
          <w:pgMar w:left="240" w:top="649" w:right="899" w:bottom="0" w:gutter="0" w:footer="0" w:header="0"/>
          <w:type w:val="continuous"/>
        </w:sectPr>
      </w:pPr>
    </w:p>
    <w:p>
      <w:pPr>
        <w:spacing w:after="0" w:line="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4200" w:type="dxa"/>
            <w:vAlign w:val="bottom"/>
            <w:gridSpan w:val="2"/>
          </w:tcPr>
          <w:p>
            <w:pPr>
              <w:ind w:left="940"/>
              <w:spacing w:after="0"/>
              <w:rPr>
                <w:sz w:val="20"/>
                <w:szCs w:val="20"/>
                <w:color w:val="auto"/>
              </w:rPr>
            </w:pPr>
            <w:r>
              <w:rPr>
                <w:rFonts w:ascii="Courier New" w:cs="Courier New" w:eastAsia="Courier New" w:hAnsi="Courier New"/>
                <w:sz w:val="18"/>
                <w:szCs w:val="18"/>
                <w:color w:val="auto"/>
                <w:w w:val="96"/>
              </w:rPr>
              <w:t>CALCULATION OF REGISTRATION FEE</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1"/>
                <w:szCs w:val="11"/>
                <w:color w:val="auto"/>
                <w:w w:val="70"/>
              </w:rPr>
              <w:t>|----------------------------------------------------------------------------------------------------</w:t>
            </w:r>
          </w:p>
        </w:tc>
        <w:tc>
          <w:tcPr>
            <w:tcW w:w="2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AMOUNT</w:t>
            </w:r>
          </w:p>
        </w:tc>
        <w:tc>
          <w:tcPr>
            <w:tcW w:w="232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PROPOSED</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PROPOSED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AMOUNT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TITLE OF SECURITIES</w:t>
            </w:r>
          </w:p>
        </w:tc>
        <w:tc>
          <w:tcPr>
            <w:tcW w:w="18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TO BE</w:t>
            </w:r>
          </w:p>
        </w:tc>
        <w:tc>
          <w:tcPr>
            <w:tcW w:w="232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MAXIMUM OFFERING</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 AGGREGATE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REGISTRATION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TO BE REGISTERED</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 SHARE</w:t>
            </w: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 PRICE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FEE (1)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gridSpan w:val="2"/>
          </w:tcPr>
          <w:p>
            <w:pPr>
              <w:spacing w:after="0"/>
              <w:rPr>
                <w:sz w:val="20"/>
                <w:szCs w:val="20"/>
                <w:color w:val="auto"/>
              </w:rPr>
            </w:pPr>
            <w:r>
              <w:rPr>
                <w:rFonts w:ascii="Courier New" w:cs="Courier New" w:eastAsia="Courier New" w:hAnsi="Courier New"/>
                <w:sz w:val="11"/>
                <w:szCs w:val="11"/>
                <w:color w:val="auto"/>
                <w:w w:val="70"/>
              </w:rPr>
              <w:t>|----------------------------------------------------------------------------------------------------</w:t>
            </w: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Common Stock,</w:t>
            </w:r>
          </w:p>
        </w:tc>
        <w:tc>
          <w:tcPr>
            <w:tcW w:w="1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500,000 shares(1)</w:t>
            </w:r>
          </w:p>
        </w:tc>
        <w:tc>
          <w:tcPr>
            <w:tcW w:w="232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$17.81</w:t>
            </w: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$8,905,000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gridSpan w:val="2"/>
          </w:tcPr>
          <w:p>
            <w:pPr>
              <w:spacing w:after="0"/>
              <w:rPr>
                <w:sz w:val="20"/>
                <w:szCs w:val="20"/>
                <w:color w:val="auto"/>
              </w:rPr>
            </w:pPr>
            <w:r>
              <w:rPr>
                <w:rFonts w:ascii="Courier New" w:cs="Courier New" w:eastAsia="Courier New" w:hAnsi="Courier New"/>
                <w:sz w:val="11"/>
                <w:szCs w:val="11"/>
                <w:color w:val="auto"/>
                <w:w w:val="70"/>
              </w:rPr>
              <w:t>|----------------------------------------------------------------------------------------------------</w:t>
            </w:r>
          </w:p>
        </w:tc>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420" w:right="2960" w:hanging="412"/>
        <w:spacing w:after="0" w:line="268"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 457(h) under the Securities Act of 1933, as amended, solely for purposes of calculating the registration fee and based upon the average of the high and low sales prices of the</w:t>
      </w:r>
    </w:p>
    <w:p>
      <w:pPr>
        <w:spacing w:after="0" w:line="1" w:lineRule="exact"/>
        <w:rPr>
          <w:sz w:val="24"/>
          <w:szCs w:val="24"/>
          <w:color w:val="auto"/>
        </w:rPr>
      </w:pPr>
    </w:p>
    <w:p>
      <w:pPr>
        <w:ind w:left="420" w:right="2960"/>
        <w:spacing w:after="0" w:line="235" w:lineRule="auto"/>
        <w:rPr>
          <w:sz w:val="20"/>
          <w:szCs w:val="20"/>
          <w:color w:val="auto"/>
        </w:rPr>
      </w:pPr>
      <w:r>
        <w:rPr>
          <w:rFonts w:ascii="Courier New" w:cs="Courier New" w:eastAsia="Courier New" w:hAnsi="Courier New"/>
          <w:sz w:val="18"/>
          <w:szCs w:val="18"/>
          <w:color w:val="auto"/>
        </w:rPr>
        <w:t>Common Stock as reported on the New York Stock Exchange on October 12, 2000.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9"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REQUIRED IN THE SECTION 10(a) PROSPECTUS</w:t>
      </w:r>
    </w:p>
    <w:p>
      <w:pPr>
        <w:sectPr>
          <w:pgSz w:w="11900" w:h="16838" w:orient="portrait"/>
          <w:cols w:equalWidth="0" w:num="1">
            <w:col w:w="10760"/>
          </w:cols>
          <w:pgMar w:left="240" w:top="649" w:right="899" w:bottom="0" w:gutter="0" w:footer="0" w:header="0"/>
          <w:type w:val="continuous"/>
        </w:sectPr>
      </w:pPr>
    </w:p>
    <w:bookmarkStart w:id="1" w:name="page2"/>
    <w:bookmarkEnd w:id="1"/>
    <w:p>
      <w:pPr>
        <w:ind w:right="2319" w:firstLine="421"/>
        <w:spacing w:after="0" w:line="237" w:lineRule="auto"/>
        <w:rPr>
          <w:sz w:val="20"/>
          <w:szCs w:val="20"/>
          <w:color w:val="auto"/>
        </w:rPr>
      </w:pPr>
      <w:r>
        <w:rPr>
          <w:rFonts w:ascii="Courier New" w:cs="Courier New" w:eastAsia="Courier New" w:hAnsi="Courier New"/>
          <w:sz w:val="18"/>
          <w:szCs w:val="18"/>
          <w:color w:val="auto"/>
        </w:rPr>
        <w:t>The information called for in Part I of the Form S-8 is not being filed with or included in this Form S-8 (by incorporation by reference or otherwise) in accordance with the rules and regulations of the Securities and Exchange Commission (the "Commission").</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We hereby incorporate by reference into this registration statement the following documents and information that we have earlier heretofore filed with the Commission:</w:t>
      </w:r>
    </w:p>
    <w:p>
      <w:pPr>
        <w:spacing w:after="0" w:line="209" w:lineRule="exact"/>
        <w:rPr>
          <w:sz w:val="20"/>
          <w:szCs w:val="20"/>
          <w:color w:val="auto"/>
        </w:rPr>
      </w:pPr>
    </w:p>
    <w:p>
      <w:pPr>
        <w:ind w:left="1280" w:right="2419" w:hanging="429"/>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our year ended December 31, 1999;</w:t>
      </w:r>
    </w:p>
    <w:p>
      <w:pPr>
        <w:spacing w:after="0" w:line="208" w:lineRule="exact"/>
        <w:rPr>
          <w:rFonts w:ascii="Courier New" w:cs="Courier New" w:eastAsia="Courier New" w:hAnsi="Courier New"/>
          <w:sz w:val="18"/>
          <w:szCs w:val="18"/>
          <w:color w:val="auto"/>
        </w:rPr>
      </w:pPr>
    </w:p>
    <w:p>
      <w:pPr>
        <w:jc w:val="both"/>
        <w:ind w:left="1280" w:right="2419" w:hanging="429"/>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Sections 13(a) or 15(d) of the Securities Exchange Act of 1934, as amended (the "Exchange Act") since the end of the fiscal year covered by the document referred to in (1) above.</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In addition, we hereby incorporate by reference into this registration statement all documents that we subsequently file with the Commission pursuant to Sections 13(a), 13(c), 14 and 15(d) of the Exchange Act prior to the filing of a post-effective amendment which indicates that all securities registered have been sold or which deregisters all securities then remaining unsold. Each document that is so incorporated by reference shall be deemed to be a part of this registration statement from the date of the filing of such document with the Commission.</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OF NAMED EXPERTS AND COUNSEL.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Subchapter D (Sections 1741 through 1750) of Chapter 17 of the Pennsylvania Business Corporation Law of 1988, as amended (the "BCL"), contains provisions for mandatory and discretionary indemnification of a corporation's directors, officers, employees and agents (collectively "Representatives"), and related matters.</w:t>
      </w:r>
    </w:p>
    <w:p>
      <w:pPr>
        <w:spacing w:after="0" w:line="209" w:lineRule="exact"/>
        <w:rPr>
          <w:sz w:val="20"/>
          <w:szCs w:val="20"/>
          <w:color w:val="auto"/>
        </w:rPr>
      </w:pPr>
    </w:p>
    <w:p>
      <w:pPr>
        <w:ind w:right="2199" w:firstLine="421"/>
        <w:spacing w:after="0" w:line="238" w:lineRule="auto"/>
        <w:rPr>
          <w:sz w:val="20"/>
          <w:szCs w:val="20"/>
          <w:color w:val="auto"/>
        </w:rPr>
      </w:pPr>
      <w:r>
        <w:rPr>
          <w:rFonts w:ascii="Courier New" w:cs="Courier New" w:eastAsia="Courier New" w:hAnsi="Courier New"/>
          <w:sz w:val="18"/>
          <w:szCs w:val="18"/>
          <w:color w:val="auto"/>
        </w:rPr>
        <w:t>Under Section 1741, subject to certain limitations, a corporation has the power to indemnify directors, officers and other Representatives under certain prescribed circumstances against expenses (including attorneys' fees), judgments, fines and amounts paid in settlement, actually and reasonably incurred in connection with a threatened, pending or completed action or proceeding, whether civil, criminal, administrative or investigative (other than an action by or in right of the corporation), to which any of them is a party or threatened to be made a party, by reason of his being a Representative of the corporation or serving at the request of the corporation as a Representative of another corporation, partnership, joint venture, trust or other enterprise, if he acted in good faith and in a manner he reasonably believed to be in, or not opposed to, the best interests of the corporation and, with respect to any criminal proceeding, had no reasonable cause to believe his conduct was unlawful.</w:t>
      </w:r>
    </w:p>
    <w:p>
      <w:pPr>
        <w:spacing w:after="0" w:line="208"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Section 1742 provides for indemnification with respect to derivative and corporate actions similar to that provided by Section 1741. However, indemnification is not provided under Section 1742 in respect of any claim, issue or matter as to which a Representative has been adjudged to be liable to the corporation unless and only to the extent that the proper court determines upon application that, despite the adjudication of liability but in view of all the circumstances of the case, a Representative is fairly and reasonably entitled to indemnity for the expenses that the court deems proper.</w:t>
      </w:r>
    </w:p>
    <w:p>
      <w:pPr>
        <w:spacing w:after="0" w:line="21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Section 1743 provides that indemnification against expenses is mandatory to the extent that a Representative has been successful on the merits or otherwise in defense of any action or proceeding referred to in Section 1741 or 1742.</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Section 1744 provides that, unless ordered by a court, any indemnification under Section 1741 or 1742 shall be made by the corporation only as authorized in the specific case upon a determination that indemnification of a</w:t>
      </w:r>
    </w:p>
    <w:p>
      <w:pPr>
        <w:sectPr>
          <w:pgSz w:w="11900" w:h="16838" w:orient="portrait"/>
          <w:cols w:equalWidth="0" w:num="1">
            <w:col w:w="10219"/>
          </w:cols>
          <w:pgMar w:left="240" w:top="717" w:right="1440" w:bottom="0" w:gutter="0" w:footer="0" w:header="0"/>
        </w:sectPr>
      </w:pPr>
    </w:p>
    <w:bookmarkStart w:id="3" w:name="page4"/>
    <w:bookmarkEnd w:id="3"/>
    <w:p>
      <w:pPr>
        <w:ind w:left="25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9019"/>
          </w:cols>
          <w:pgMar w:left="1440" w:top="142" w:right="1440" w:bottom="1440" w:gutter="0" w:footer="0" w:header="0"/>
        </w:sectPr>
      </w:pPr>
    </w:p>
    <w:bookmarkStart w:id="4" w:name="page5"/>
    <w:bookmarkEnd w:id="4"/>
    <w:p>
      <w:pPr>
        <w:ind w:right="2319"/>
        <w:spacing w:after="0" w:line="237" w:lineRule="auto"/>
        <w:rPr>
          <w:sz w:val="20"/>
          <w:szCs w:val="20"/>
          <w:color w:val="auto"/>
        </w:rPr>
      </w:pPr>
      <w:r>
        <w:rPr>
          <w:rFonts w:ascii="Courier New" w:cs="Courier New" w:eastAsia="Courier New" w:hAnsi="Courier New"/>
          <w:sz w:val="18"/>
          <w:szCs w:val="18"/>
          <w:color w:val="auto"/>
        </w:rPr>
        <w:t>Representative is proper because the Representative met the applicable standard of conduct, and such determination will be made: (i) by the board of directors by a majority vote of a quorum of directors not parties to the action or proceeding; (ii) if a quorum is not obtainable or if obtainable and a majority of disinterested directors so directs, by independent legal counsel; or (iii) by the shareholders.</w:t>
      </w:r>
    </w:p>
    <w:p>
      <w:pPr>
        <w:spacing w:after="0" w:line="210" w:lineRule="exact"/>
        <w:rPr>
          <w:sz w:val="20"/>
          <w:szCs w:val="20"/>
          <w:color w:val="auto"/>
        </w:rPr>
      </w:pPr>
    </w:p>
    <w:p>
      <w:pPr>
        <w:ind w:right="2199" w:firstLine="421"/>
        <w:spacing w:after="0" w:line="238" w:lineRule="auto"/>
        <w:rPr>
          <w:sz w:val="20"/>
          <w:szCs w:val="20"/>
          <w:color w:val="auto"/>
        </w:rPr>
      </w:pPr>
      <w:r>
        <w:rPr>
          <w:rFonts w:ascii="Courier New" w:cs="Courier New" w:eastAsia="Courier New" w:hAnsi="Courier New"/>
          <w:sz w:val="18"/>
          <w:szCs w:val="18"/>
          <w:color w:val="auto"/>
        </w:rPr>
        <w:t>Section 1745 provides that expenses incurred by a Representative in defending any action or proceeding referred to in Subchapter D of Chapter 17 of the BCL may be paid by the corporation in advance of the final disposition of such action or proceeding upon receipt of an undertaking by or on behalf of the Representative to repay such amount if it shall ultimately be determined that the Representative is not entitled to be indemnified by the corporation. Section 1746 provides generally that except in any case where the act or failure to act giving rise to the claim for indemnification is determined by a court to have constituted willful misconduct or recklessness, the indemnification and advancement of expenses provided by Subchapter D of Chapter 17 of the BCL shall not be deemed exclusive of any other rights to which a Representative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208"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Section 1746 also authorizes a corporation to create a fund or otherwise secure or insure in any manner its indemnification obligations.</w:t>
      </w:r>
    </w:p>
    <w:p>
      <w:pPr>
        <w:spacing w:after="0" w:line="208"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Section 1747 grants a corporation the power to purchase and maintain insurance on behalf of any Representative against any liability asserted against him and incurred by him in his capacity as a Representative, or arising out of his status as such, whether or not the corporation would have the power to indemnify him against that liability under Subchapter D of Chapter 17 of the BCL.</w:t>
      </w:r>
    </w:p>
    <w:p>
      <w:pPr>
        <w:spacing w:after="0" w:line="210"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Sections 1748 and 1749 apply the indemnification and advancement of expenses provisions contained in Subchapter D of Chapter 17 of the BCL to successor corporations resulting from consolidation, merger or division and to Representatives of a corporation or an employee benefit plan. Section 1750 provides that the indemnification and advancement of expenses pursuant to Subchapter D of Chapter 17 of the BCL shall continue as to a person who has ceased to be a Representative and shall inure to the benefit of the heirs and personal representative of that person.</w:t>
      </w:r>
    </w:p>
    <w:p>
      <w:pPr>
        <w:spacing w:after="0" w:line="212"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Section 7.1 of our By-Laws contains provisions allowing for the indemnification of our directors and officers to the full extent permitted by the provisions of the BCL.</w:t>
      </w:r>
    </w:p>
    <w:p>
      <w:pPr>
        <w:spacing w:after="0" w:line="209"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These indemnification provisions may be sufficiently broad to permit indemnification of our Representatives for liabilities (including reimbursement of expenses incurred) arising under the Securities Act of 1933, as amended.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220"/>
            <w:col w:w="9259"/>
          </w:cols>
          <w:pgMar w:left="240" w:top="723"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2000 Employee Stock Purchase Plan (1)</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5.1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Fox, Rothschild, O'Brien &amp;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Frankel, LLP</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PricewaterhouseCoopers LLP</w:t>
      </w:r>
    </w:p>
    <w:p>
      <w:pPr>
        <w:spacing w:after="0" w:line="216" w:lineRule="exact"/>
        <w:rPr>
          <w:sz w:val="20"/>
          <w:szCs w:val="20"/>
          <w:color w:val="auto"/>
        </w:rPr>
      </w:pPr>
    </w:p>
    <w:p>
      <w:pPr>
        <w:sectPr>
          <w:pgSz w:w="11900" w:h="16838" w:orient="portrait"/>
          <w:cols w:equalWidth="0" w:num="2">
            <w:col w:w="2660" w:space="720"/>
            <w:col w:w="6839"/>
          </w:cols>
          <w:pgMar w:left="240" w:top="723"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Fox, Rothschild, O'Brien &amp;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Frankel, LLP (See Ex. 5.1)</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 (filed with</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 pages)</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0" w:gutter="0" w:footer="0" w:header="0"/>
          <w:type w:val="continuous"/>
        </w:sectPr>
      </w:pP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 to the Definitive Proxy</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Statement filed with the Commission on March 30, 2000 for our May 10, 2000</w:t>
      </w:r>
    </w:p>
    <w:p>
      <w:pPr>
        <w:sectPr>
          <w:pgSz w:w="11900" w:h="16838" w:orient="portrait"/>
          <w:cols w:equalWidth="0" w:num="1">
            <w:col w:w="10219"/>
          </w:cols>
          <w:pgMar w:left="240" w:top="723"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Annual Meeting of Shareholders.</w:t>
      </w:r>
    </w:p>
    <w:p>
      <w:pPr>
        <w:spacing w:after="0" w:line="201"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679"/>
          </w:cols>
          <w:pgMar w:left="780" w:top="136" w:right="1440" w:bottom="1440" w:gutter="0" w:footer="0" w:header="0"/>
        </w:sectPr>
      </w:pPr>
    </w:p>
    <w:bookmarkStart w:id="6" w:name="page7"/>
    <w:bookmarkEnd w:id="6"/>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hereby undertake:</w:t>
      </w:r>
    </w:p>
    <w:p>
      <w:pPr>
        <w:spacing w:after="0" w:line="206" w:lineRule="exact"/>
        <w:rPr>
          <w:rFonts w:ascii="Courier New" w:cs="Courier New" w:eastAsia="Courier New" w:hAnsi="Courier New"/>
          <w:sz w:val="18"/>
          <w:szCs w:val="18"/>
          <w:color w:val="auto"/>
        </w:rPr>
      </w:pPr>
    </w:p>
    <w:p>
      <w:pPr>
        <w:ind w:left="420" w:right="2419" w:firstLine="536"/>
        <w:spacing w:after="0" w:line="290" w:lineRule="auto"/>
        <w:tabs>
          <w:tab w:leader="none" w:pos="136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960" w:right="2319" w:firstLine="523"/>
        <w:spacing w:after="0" w:line="235" w:lineRule="auto"/>
        <w:tabs>
          <w:tab w:leader="none" w:pos="1908"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960" w:right="2199" w:firstLine="523"/>
        <w:spacing w:after="0" w:line="270" w:lineRule="auto"/>
        <w:tabs>
          <w:tab w:leader="none" w:pos="1908"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87" w:lineRule="exact"/>
        <w:rPr>
          <w:rFonts w:ascii="Courier New" w:cs="Courier New" w:eastAsia="Courier New" w:hAnsi="Courier New"/>
          <w:sz w:val="16"/>
          <w:szCs w:val="16"/>
          <w:color w:val="auto"/>
        </w:rPr>
      </w:pPr>
    </w:p>
    <w:p>
      <w:pPr>
        <w:ind w:left="960" w:right="2319" w:firstLine="523"/>
        <w:spacing w:after="0" w:line="237" w:lineRule="auto"/>
        <w:tabs>
          <w:tab w:leader="none" w:pos="1908"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420" w:right="2319"/>
        <w:spacing w:after="0" w:line="237" w:lineRule="auto"/>
        <w:rPr>
          <w:sz w:val="20"/>
          <w:szCs w:val="20"/>
          <w:color w:val="auto"/>
        </w:rPr>
      </w:pPr>
      <w:r>
        <w:rPr>
          <w:rFonts w:ascii="Courier New" w:cs="Courier New" w:eastAsia="Courier New" w:hAnsi="Courier New"/>
          <w:sz w:val="18"/>
          <w:szCs w:val="18"/>
          <w:color w:val="auto"/>
        </w:rPr>
        <w:t>provided, however, that paragraphs (A)(1)(a) and (A)(1)(b) do not apply if the information required to be included in a post-effective amendment by those paragraphs is contained in periodic reports filed with or furnished to the Commission by us pursuant to Section 13 or Section 15(d) of the Exchange Act that are incorporated by reference in the registration statement.</w:t>
      </w:r>
    </w:p>
    <w:p>
      <w:pPr>
        <w:spacing w:after="0" w:line="210" w:lineRule="exact"/>
        <w:rPr>
          <w:sz w:val="20"/>
          <w:szCs w:val="20"/>
          <w:color w:val="auto"/>
        </w:rPr>
      </w:pPr>
    </w:p>
    <w:p>
      <w:pPr>
        <w:ind w:left="420" w:right="2319" w:firstLine="536"/>
        <w:spacing w:after="0" w:line="237" w:lineRule="auto"/>
        <w:tabs>
          <w:tab w:leader="none" w:pos="136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420" w:right="2319" w:firstLine="536"/>
        <w:spacing w:after="0" w:line="236" w:lineRule="auto"/>
        <w:tabs>
          <w:tab w:leader="none" w:pos="136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2199" w:firstLine="429"/>
        <w:spacing w:after="0" w:line="271"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hereby undertake that, for purposes of determining any liability under the Securities Act of 1933, each filing of our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therein.</w:t>
      </w:r>
    </w:p>
    <w:p>
      <w:pPr>
        <w:spacing w:after="0" w:line="183" w:lineRule="exact"/>
        <w:rPr>
          <w:rFonts w:ascii="Courier New" w:cs="Courier New" w:eastAsia="Courier New" w:hAnsi="Courier New"/>
          <w:sz w:val="16"/>
          <w:szCs w:val="16"/>
          <w:color w:val="auto"/>
        </w:rPr>
      </w:pPr>
    </w:p>
    <w:p>
      <w:pPr>
        <w:ind w:right="2199" w:firstLine="429"/>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for our directors, officers and controlling persons pursuant to the foregoing provisions, or otherwise, we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us of expenses incurred or paid by a director, officer or controlling person of ours in the successful defense of any action, suit, or proceeding) is asserted by such director, officer or controlling person in connection with the securities being registered in this registration statement, we will, unless in the opinion of our counsel the matter has been settled by controlling precedent, submit to a court of appropriate jurisdiction the question whether such indemnification by us is against public policy as expressed in the Securities Act of 1933, and we will be governed by the final adjudication of such issue.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362"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Conshohocken, Commonwealth of Pennsylvania on the 18th day of October, 2000.</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QUAKER CHEMICAL CORPORATION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RONALD J. NAPLES</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Ronald J. Naples</w:t>
      </w:r>
    </w:p>
    <w:p>
      <w:pPr>
        <w:ind w:left="4020"/>
        <w:spacing w:after="0" w:line="237"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421"/>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Ronald J. Naples and Michael F. Barry, or each of them, as true and lawful attorneys-in-fact and agents, with full power of substitution and resubstitution, for him or her and in his or her name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be done in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8" w:lineRule="exact"/>
        <w:rPr>
          <w:sz w:val="20"/>
          <w:szCs w:val="20"/>
          <w:color w:val="auto"/>
        </w:rPr>
      </w:pPr>
    </w:p>
    <w:p>
      <w:pPr>
        <w:ind w:right="283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000" w:type="dxa"/>
            <w:vAlign w:val="bottom"/>
          </w:tcPr>
          <w:p>
            <w:pPr>
              <w:ind w:left="112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RONALD J. NAPLES</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19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October 18, 2000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Officer and a Director</w:t>
            </w:r>
          </w:p>
        </w:tc>
        <w:tc>
          <w:tcPr>
            <w:tcW w:w="19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J. Naples</w:t>
            </w:r>
          </w:p>
        </w:tc>
        <w:tc>
          <w:tcPr>
            <w:tcW w:w="3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MICHAEL F. BARRY</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and</w:t>
            </w:r>
          </w:p>
        </w:tc>
        <w:tc>
          <w:tcPr>
            <w:tcW w:w="19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October 18, 2000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9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F. Barry</w:t>
            </w:r>
          </w:p>
        </w:tc>
        <w:tc>
          <w:tcPr>
            <w:tcW w:w="3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JOSEPH B. ANDERSON, JR.</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October 18, 2000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B. Anderson, Jr.</w:t>
            </w:r>
          </w:p>
        </w:tc>
        <w:tc>
          <w:tcPr>
            <w:tcW w:w="300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480"/>
        <w:spacing w:after="0"/>
        <w:tabs>
          <w:tab w:leader="none" w:pos="652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October 18, 2000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Patricia C. Barron</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 PETER A. BENOLIEL</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2000</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A. Benoliel</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 DONALD R. CALDWELL</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2000</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R. Caldwell</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919" w:right="1440" w:bottom="159" w:gutter="0" w:footer="0" w:header="0"/>
        </w:sectPr>
      </w:pPr>
    </w:p>
    <w:bookmarkStart w:id="8" w:name="page9"/>
    <w:bookmarkEnd w:id="8"/>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 ROBERT E. CHAPPELL</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2000</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E. Chappell</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 WILLIAM R. COOK</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2000</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R. Cook</w:t>
      </w:r>
    </w:p>
    <w:p>
      <w:pPr>
        <w:spacing w:after="0" w:line="200" w:lineRule="exact"/>
        <w:rPr>
          <w:sz w:val="20"/>
          <w:szCs w:val="20"/>
          <w:color w:val="auto"/>
        </w:rPr>
      </w:pPr>
    </w:p>
    <w:p>
      <w:pPr>
        <w:spacing w:after="0" w:line="204" w:lineRule="exact"/>
        <w:rPr>
          <w:sz w:val="20"/>
          <w:szCs w:val="20"/>
          <w:color w:val="auto"/>
        </w:rPr>
      </w:pPr>
    </w:p>
    <w:p>
      <w:pPr>
        <w:jc w:val="both"/>
        <w:ind w:left="3480"/>
        <w:spacing w:after="0"/>
        <w:tabs>
          <w:tab w:leader="none" w:pos="652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October 18, 2000</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J. Delattre</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 ROBERT P. HAUPTFUHRER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2000</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P. Hauptfuhrer</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 ROBERT H. ROCK</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18, 2000</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Rock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Committee has duly caused this Registration Statement to be signed on its behalf by the undersigned, thereunto duly authorized, in the City of Conshohocken, Pennsylvania, on the 18th day of October, 2000.</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QUAKER CHEMICAL CORPORATION</w:t>
      </w:r>
    </w:p>
    <w:p>
      <w:pPr>
        <w:ind w:left="3580"/>
        <w:spacing w:after="0" w:line="238" w:lineRule="auto"/>
        <w:rPr>
          <w:sz w:val="20"/>
          <w:szCs w:val="20"/>
          <w:color w:val="auto"/>
        </w:rPr>
      </w:pPr>
      <w:r>
        <w:rPr>
          <w:rFonts w:ascii="Courier New" w:cs="Courier New" w:eastAsia="Courier New" w:hAnsi="Courier New"/>
          <w:sz w:val="18"/>
          <w:szCs w:val="18"/>
          <w:color w:val="auto"/>
        </w:rPr>
        <w:t>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IRENE M. KISLEIKO</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right"/>
        <w:ind w:right="1999"/>
        <w:spacing w:after="0"/>
        <w:rPr>
          <w:sz w:val="20"/>
          <w:szCs w:val="20"/>
          <w:color w:val="auto"/>
        </w:rPr>
      </w:pPr>
      <w:r>
        <w:rPr>
          <w:rFonts w:ascii="Courier New" w:cs="Courier New" w:eastAsia="Courier New" w:hAnsi="Courier New"/>
          <w:sz w:val="18"/>
          <w:szCs w:val="18"/>
          <w:color w:val="auto"/>
        </w:rPr>
        <w:t>Irene M. Kisleiko, Committee Chairperson</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91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5320" w:type="dxa"/>
            <w:vAlign w:val="bottom"/>
          </w:tcPr>
          <w:p>
            <w:pPr>
              <w:ind w:left="100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EXHIBIT NUMBER</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Employee Stock Purchase Plan(1)</w:t>
            </w:r>
          </w:p>
        </w:tc>
      </w:tr>
      <w:tr>
        <w:trPr>
          <w:trHeight w:val="405"/>
        </w:trPr>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5.1</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9"/>
              </w:rPr>
              <w:t>Opinion and Consent of Fox, Rothschild, O'Brien &amp;</w:t>
            </w:r>
          </w:p>
        </w:tc>
      </w:tr>
      <w:tr>
        <w:trPr>
          <w:trHeight w:val="203"/>
        </w:trPr>
        <w:tc>
          <w:tcPr>
            <w:tcW w:w="2160" w:type="dxa"/>
            <w:vAlign w:val="bottom"/>
          </w:tcPr>
          <w:p>
            <w:pPr>
              <w:spacing w:after="0"/>
              <w:rPr>
                <w:sz w:val="17"/>
                <w:szCs w:val="17"/>
                <w:color w:val="auto"/>
              </w:rPr>
            </w:pP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Frankel, LLP</w:t>
            </w:r>
          </w:p>
        </w:tc>
      </w:tr>
      <w:tr>
        <w:trPr>
          <w:trHeight w:val="405"/>
        </w:trPr>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23.1</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Consent of PricewaterhouseCoopers LLP</w:t>
            </w:r>
          </w:p>
        </w:tc>
      </w:tr>
      <w:tr>
        <w:trPr>
          <w:trHeight w:val="405"/>
        </w:trPr>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23.2</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Consent of Fox, Rothschild, O'Brien &amp; Frankel, LLP</w:t>
            </w:r>
          </w:p>
        </w:tc>
      </w:tr>
      <w:tr>
        <w:trPr>
          <w:trHeight w:val="203"/>
        </w:trPr>
        <w:tc>
          <w:tcPr>
            <w:tcW w:w="2160" w:type="dxa"/>
            <w:vAlign w:val="bottom"/>
          </w:tcPr>
          <w:p>
            <w:pPr>
              <w:spacing w:after="0"/>
              <w:rPr>
                <w:sz w:val="17"/>
                <w:szCs w:val="17"/>
                <w:color w:val="auto"/>
              </w:rPr>
            </w:pP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Ex. 5.1)</w:t>
            </w:r>
          </w:p>
        </w:tc>
      </w:tr>
      <w:tr>
        <w:trPr>
          <w:trHeight w:val="405"/>
        </w:trPr>
        <w:tc>
          <w:tcPr>
            <w:tcW w:w="216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24</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(filed with signature pages)</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 ------------------</w:t>
            </w:r>
          </w:p>
        </w:tc>
        <w:tc>
          <w:tcPr>
            <w:tcW w:w="5320" w:type="dxa"/>
            <w:vAlign w:val="bottom"/>
          </w:tcPr>
          <w:p>
            <w:pPr>
              <w:spacing w:after="0"/>
              <w:rPr>
                <w:sz w:val="24"/>
                <w:szCs w:val="24"/>
                <w:color w:val="auto"/>
              </w:rPr>
            </w:pPr>
          </w:p>
        </w:tc>
      </w:tr>
    </w:tbl>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 to the Definitive Proxy</w:t>
      </w:r>
    </w:p>
    <w:p>
      <w:pPr>
        <w:spacing w:after="0" w:line="4" w:lineRule="exact"/>
        <w:rPr>
          <w:rFonts w:ascii="Courier New" w:cs="Courier New" w:eastAsia="Courier New" w:hAnsi="Courier New"/>
          <w:sz w:val="18"/>
          <w:szCs w:val="18"/>
          <w:color w:val="auto"/>
        </w:rPr>
      </w:pPr>
    </w:p>
    <w:p>
      <w:pPr>
        <w:ind w:left="42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filed with the Commission on March 30, 2000 for our May 10, 2000 Annual Meeting of Shareholders.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6860"/>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October 18,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Quaker Chemical Corporation</w:t>
      </w:r>
    </w:p>
    <w:p>
      <w:pPr>
        <w:spacing w:after="0" w:line="238" w:lineRule="auto"/>
        <w:rPr>
          <w:sz w:val="20"/>
          <w:szCs w:val="20"/>
          <w:color w:val="auto"/>
        </w:rPr>
      </w:pPr>
      <w:r>
        <w:rPr>
          <w:rFonts w:ascii="Courier New" w:cs="Courier New" w:eastAsia="Courier New" w:hAnsi="Courier New"/>
          <w:sz w:val="18"/>
          <w:szCs w:val="18"/>
          <w:color w:val="auto"/>
        </w:rPr>
        <w:t>Elm and Lee Streets</w:t>
      </w:r>
    </w:p>
    <w:p>
      <w:pPr>
        <w:spacing w:after="0"/>
        <w:tabs>
          <w:tab w:leader="none" w:pos="2940" w:val="left"/>
        </w:tabs>
        <w:rPr>
          <w:sz w:val="20"/>
          <w:szCs w:val="20"/>
          <w:color w:val="auto"/>
        </w:rPr>
      </w:pPr>
      <w:r>
        <w:rPr>
          <w:rFonts w:ascii="Courier New" w:cs="Courier New" w:eastAsia="Courier New" w:hAnsi="Courier New"/>
          <w:sz w:val="18"/>
          <w:szCs w:val="18"/>
          <w:color w:val="auto"/>
        </w:rPr>
        <w:t>Conshohocken, Pennsylvania</w:t>
      </w:r>
      <w:r>
        <w:rPr>
          <w:sz w:val="20"/>
          <w:szCs w:val="20"/>
          <w:color w:val="auto"/>
        </w:rPr>
        <w:tab/>
      </w:r>
      <w:r>
        <w:rPr>
          <w:rFonts w:ascii="Courier New" w:cs="Courier New" w:eastAsia="Courier New" w:hAnsi="Courier New"/>
          <w:sz w:val="16"/>
          <w:szCs w:val="16"/>
          <w:color w:val="auto"/>
        </w:rPr>
        <w:t>19428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319" w:firstLine="421"/>
        <w:spacing w:after="0" w:line="271" w:lineRule="auto"/>
        <w:rPr>
          <w:sz w:val="20"/>
          <w:szCs w:val="20"/>
          <w:color w:val="auto"/>
        </w:rPr>
      </w:pPr>
      <w:r>
        <w:rPr>
          <w:rFonts w:ascii="Courier New" w:cs="Courier New" w:eastAsia="Courier New" w:hAnsi="Courier New"/>
          <w:sz w:val="16"/>
          <w:szCs w:val="16"/>
          <w:color w:val="auto"/>
        </w:rPr>
        <w:t>We refer to the Registration Statement on Form S-8 under the Securities Act of 1933, as amended (the "Registration Statement"), filed on this date by Quaker Chemical Corporation (the "Company") with the Securities and Exchange Commission (the "Commission"), to which this opinion letter is attached as an exhibit, for the registration of 500,000 shares of Quaker Chemical Corporation Common Stock, $1.00 par value per share ("Common Stock"), which have been reserved for issuance under the Quaker Chemical Corporation 2000 Employee Stock Purchase Plan (the "Plan").</w:t>
      </w:r>
    </w:p>
    <w:p>
      <w:pPr>
        <w:spacing w:after="0" w:line="186" w:lineRule="exact"/>
        <w:rPr>
          <w:sz w:val="20"/>
          <w:szCs w:val="20"/>
          <w:color w:val="auto"/>
        </w:rPr>
      </w:pPr>
    </w:p>
    <w:p>
      <w:pPr>
        <w:ind w:right="2199" w:firstLine="421"/>
        <w:spacing w:after="0" w:line="238" w:lineRule="auto"/>
        <w:rPr>
          <w:sz w:val="20"/>
          <w:szCs w:val="20"/>
          <w:color w:val="auto"/>
        </w:rPr>
      </w:pPr>
      <w:r>
        <w:rPr>
          <w:rFonts w:ascii="Courier New" w:cs="Courier New" w:eastAsia="Courier New" w:hAnsi="Courier New"/>
          <w:sz w:val="18"/>
          <w:szCs w:val="18"/>
          <w:color w:val="auto"/>
        </w:rPr>
        <w:t>We have examined the original or a photostatic or certified copy of such documents, records, and other information as we deemed relevant and necessary as the basis for the opinion set forth below. In such examination, we have assumed, the authenticity of each document submitted to us as an original, the conformity to the original document of each document submitted to us as a certified copy or photostatic copy, and the authenticity of the original of each such latter document. In addition, we have assumed, in rendering the opinion set forth below, that any stock certificate evidencing any shares of the Company's Common Stock registered by this Registration Statement, when issued under the Plan, will have been duly executed on behalf of the Company and will have been countersigned by the Company's transfer agent and registered by the Company's registrar prior to its issuance.</w:t>
      </w:r>
    </w:p>
    <w:p>
      <w:pPr>
        <w:spacing w:after="0" w:line="207"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On the basis of our examination mentioned above, subject to the assumptions stated and relying on statements of fact contained in the documents that we have examined, we are of the opinion that the shares of Common Stock registered pursuant to the Registration Statement have been duly and validly authorized and reserved for issuance and that upon the issuance of such shares and payment therefore in accordance with the provisions of the Plan, the shares of Common Stock will be validly issued, fully paid and non-assessable.</w:t>
      </w:r>
    </w:p>
    <w:p>
      <w:pPr>
        <w:spacing w:after="0" w:line="212"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This opinion is rendered only to you and is solely for your benefit in connection with the transactions covered hereby. This opinion may not be relied upon by you for any other purpose or furnished to, quoted to or relied upon by any other person for any purpose without our prior written consent. The opinions set forth above are rendered as of the date of this letter. We assume no obligation to update or supplement any of these opinions to reflect any changes of law or fact that may occur subsequent to the date hereof.</w:t>
      </w:r>
    </w:p>
    <w:p>
      <w:pPr>
        <w:spacing w:after="0" w:line="212" w:lineRule="exact"/>
        <w:rPr>
          <w:sz w:val="20"/>
          <w:szCs w:val="20"/>
          <w:color w:val="auto"/>
        </w:rPr>
      </w:pPr>
    </w:p>
    <w:p>
      <w:pPr>
        <w:ind w:right="3359" w:firstLine="421"/>
        <w:spacing w:after="0" w:line="235" w:lineRule="auto"/>
        <w:rPr>
          <w:sz w:val="20"/>
          <w:szCs w:val="20"/>
          <w:color w:val="auto"/>
        </w:rPr>
      </w:pPr>
      <w:r>
        <w:rPr>
          <w:rFonts w:ascii="Courier New" w:cs="Courier New" w:eastAsia="Courier New" w:hAnsi="Courier New"/>
          <w:sz w:val="18"/>
          <w:szCs w:val="18"/>
          <w:color w:val="auto"/>
        </w:rPr>
        <w:t>We consent to the filing of this opinion as an exhibit to the Registration Statement.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/s/ FOX, ROTHSCHILD, O'BRIEN &amp; FRANKEL, LLP</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FOX, ROTHSCHILD, O'BRIEN &amp; FRANKEL,</w:t>
      </w:r>
    </w:p>
    <w:p>
      <w:pPr>
        <w:ind w:left="3580"/>
        <w:spacing w:after="0" w:line="238" w:lineRule="auto"/>
        <w:rPr>
          <w:sz w:val="20"/>
          <w:szCs w:val="20"/>
          <w:color w:val="auto"/>
        </w:rPr>
      </w:pPr>
      <w:r>
        <w:rPr>
          <w:rFonts w:ascii="Courier New" w:cs="Courier New" w:eastAsia="Courier New" w:hAnsi="Courier New"/>
          <w:sz w:val="18"/>
          <w:szCs w:val="18"/>
          <w:color w:val="auto"/>
        </w:rPr>
        <w:t>A Limited Liability Partnership</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339" w:right="1440" w:bottom="1440" w:gutter="0" w:footer="0" w:header="0"/>
        </w:sectPr>
      </w:pPr>
    </w:p>
    <w:bookmarkStart w:id="12" w:name="page13"/>
    <w:bookmarkEnd w:id="12"/>
    <w:p>
      <w:pPr>
        <w:jc w:val="right"/>
        <w:ind w:right="219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our report dated March 10, 2000 relating to the consolidated financial statements, which appears in the 1999 Annual Report to the Shareholders of Quaker Chemical Corporation, which is incorporated by reference in Quaker Chemical Corporation's Annual Report on Form 10-K for the year ended December 31, 1999.</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Philadelphia, PA</w:t>
      </w:r>
    </w:p>
    <w:p>
      <w:pPr>
        <w:ind w:left="4120"/>
        <w:spacing w:after="0" w:line="238" w:lineRule="auto"/>
        <w:rPr>
          <w:sz w:val="20"/>
          <w:szCs w:val="20"/>
          <w:color w:val="auto"/>
        </w:rPr>
      </w:pPr>
      <w:r>
        <w:rPr>
          <w:rFonts w:ascii="Courier New" w:cs="Courier New" w:eastAsia="Courier New" w:hAnsi="Courier New"/>
          <w:sz w:val="18"/>
          <w:szCs w:val="18"/>
          <w:color w:val="auto"/>
        </w:rPr>
        <w:t>October 18, 2000</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II-8</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
    <w:nsid w:val="4DB127F8"/>
    <w:multiLevelType w:val="hybridMultilevel"/>
    <w:lvl w:ilvl="0">
      <w:lvlJc w:val="left"/>
      <w:lvlText w:val="%1"/>
      <w:numFmt w:val="upperLetter"/>
      <w:start w:val="1"/>
    </w:lvl>
    <w:lvl w:ilvl="1">
      <w:lvlJc w:val="left"/>
      <w:lvlText w:val="(%2)"/>
      <w:numFmt w:val="decimal"/>
      <w:start w:val="2"/>
    </w:lvl>
  </w:abstractNum>
  <w:abstractNum w:abstractNumId="5">
    <w:nsid w:val="216231B"/>
    <w:multiLevelType w:val="hybridMultilevel"/>
    <w:lvl w:ilvl="0">
      <w:lvlJc w:val="left"/>
      <w:lvlText w:val="%1."/>
      <w:numFmt w:val="upperLetter"/>
      <w:start w:val="2"/>
    </w:lvl>
    <w:lvl w:ilvl="1">
      <w:lvlJc w:val="left"/>
      <w:lvlText w:val="%2"/>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2019-12-13T06:43:13Z</dcterms:created>
  <dcterms:modified xsi:type="dcterms:W3CDTF">2019-12-13T06:43:13Z</dcterms:modified>
</cp:coreProperties>
</file>