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 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October 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QUAKER CHEMICAL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001-12019</w:t>
      </w:r>
    </w:p>
    <w:tbl>
      <w:tblPr>
        <w:tblW w:w="4153" w:type="dxa"/>
        <w:jc w:val="center"/>
        <w:tblInd w:w="0" w:type="dxa"/>
        <w:tblLayout w:type="fixed"/>
        <w:tblCellMar>
          <w:top w:w="28" w:type="dxa"/>
          <w:left w:w="28" w:type="dxa"/>
          <w:bottom w:w="28" w:type="dxa"/>
          <w:right w:w="28" w:type="dxa"/>
        </w:tblCellMar>
      </w:tblPr>
      <w:tblGrid>
        <w:gridCol w:w="908"/>
        <w:gridCol w:w="796"/>
        <w:gridCol w:w="800"/>
        <w:gridCol w:w="481"/>
        <w:gridCol w:w="481"/>
        <w:gridCol w:w="687"/>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23-0993790</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901 E. Hector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Conshohocken, Pennsylvania 19428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(610) 832-4000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896"/>
        <w:gridCol w:w="784"/>
        <w:gridCol w:w="794"/>
        <w:gridCol w:w="109"/>
        <w:gridCol w:w="109"/>
        <w:gridCol w:w="109"/>
        <w:gridCol w:w="539"/>
        <w:gridCol w:w="539"/>
        <w:gridCol w:w="541"/>
        <w:gridCol w:w="109"/>
        <w:gridCol w:w="109"/>
        <w:gridCol w:w="109"/>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INFORMATION TO BE INCLUDED IN THE REPORT</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120"/>
        <w:jc w:val="both"/>
        <w:rPr/>
      </w:pPr>
      <w:r>
        <w:rPr>
          <w:rFonts w:ascii="Times New Roman;serif" w:hAnsi="Times New Roman;serif"/>
          <w:b w:val="false"/>
          <w:color w:val="000000"/>
          <w:sz w:val="20"/>
        </w:rPr>
        <w:t>On October 1, 2026, Quaker Chemical Corporation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JPMorgan Chase Bank, N.A. (“</w:t>
      </w:r>
      <w:r>
        <w:rPr>
          <w:rFonts w:ascii="Times New Roman;serif" w:hAnsi="Times New Roman;serif"/>
          <w:b/>
          <w:color w:val="000000"/>
          <w:sz w:val="20"/>
        </w:rPr>
        <w:t>JPM</w:t>
      </w:r>
      <w:r>
        <w:rPr>
          <w:color w:val="000000"/>
        </w:rPr>
        <w:t>”</w:t>
      </w:r>
      <w:r>
        <w:rPr>
          <w:rFonts w:ascii="Times New Roman;serif" w:hAnsi="Times New Roman;serif"/>
          <w:b w:val="false"/>
          <w:color w:val="000000"/>
          <w:sz w:val="20"/>
        </w:rPr>
        <w:t>), certain guarantors and other lenders (the “</w:t>
      </w:r>
      <w:r>
        <w:rPr>
          <w:rFonts w:ascii="Times New Roman;serif" w:hAnsi="Times New Roman;serif"/>
          <w:b/>
          <w:color w:val="000000"/>
          <w:sz w:val="20"/>
        </w:rPr>
        <w:t>Lenders</w:t>
      </w:r>
      <w:r>
        <w:rPr>
          <w:color w:val="000000"/>
        </w:rPr>
        <w:t>”</w:t>
      </w:r>
      <w:r>
        <w:rPr>
          <w:rFonts w:ascii="Times New Roman;serif" w:hAnsi="Times New Roman;serif"/>
          <w:b w:val="false"/>
          <w:color w:val="000000"/>
          <w:sz w:val="20"/>
        </w:rPr>
        <w:t>) entered into an Amendment (the “</w:t>
      </w:r>
      <w:r>
        <w:rPr>
          <w:rFonts w:ascii="Times New Roman;serif" w:hAnsi="Times New Roman;serif"/>
          <w:b/>
          <w:color w:val="000000"/>
          <w:sz w:val="20"/>
        </w:rPr>
        <w:t>Term Loan B Amendment</w:t>
      </w:r>
      <w:r>
        <w:rPr>
          <w:color w:val="000000"/>
        </w:rPr>
        <w:t>”</w:t>
      </w:r>
      <w:r>
        <w:rPr>
          <w:rFonts w:ascii="Times New Roman;serif" w:hAnsi="Times New Roman;serif"/>
          <w:b w:val="false"/>
          <w:color w:val="000000"/>
          <w:sz w:val="20"/>
        </w:rPr>
        <w:t xml:space="preserve">) to the existing credit agreement among the Company, its wholly-owned subsidiary, Quaker Chemical B.V., as borrowers, Bank of America, N.A., as administrative agent, U.S. dollar swing line lender and letter of credit issuer, and the other lenders party thereto, entered into on August 1, 2019, as previously amended (the “Existing Credit Agreement”; as amended by the Term Loan B Amendment, the “Credit Agreement”). </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Term Loan B Amendment amends the Existing Credit Agreement to, among other things, incur a new class of senior secured U.S. dollar-denominated term B loans under a new, $550 million seven-year term loan B facility (the “</w:t>
      </w:r>
      <w:r>
        <w:rPr>
          <w:rFonts w:ascii="Times New Roman;serif" w:hAnsi="Times New Roman;serif"/>
          <w:b/>
          <w:color w:val="000000"/>
          <w:sz w:val="20"/>
        </w:rPr>
        <w:t>Term Loan B Facility</w:t>
      </w:r>
      <w:r>
        <w:rPr>
          <w:color w:val="000000"/>
        </w:rPr>
        <w:t>”</w:t>
      </w:r>
      <w:r>
        <w:rPr>
          <w:rFonts w:ascii="Times New Roman;serif" w:hAnsi="Times New Roman;serif"/>
          <w:b w:val="false"/>
          <w:color w:val="000000"/>
          <w:sz w:val="20"/>
        </w:rPr>
        <w:t xml:space="preserve">). The proceeds from the Term Loan B Facility will be used to repay in full the U.S. Term Loans (as defined in the Existing Credit Agreement) outstanding under the Existing Credit Agreement. </w:t>
      </w:r>
    </w:p>
    <w:p>
      <w:pPr>
        <w:pStyle w:val="TextBody"/>
        <w:bidi w:val="0"/>
        <w:spacing w:lineRule="auto" w:line="288" w:before="0" w:after="120"/>
        <w:ind w:left="0" w:right="0" w:firstLine="720"/>
        <w:jc w:val="both"/>
        <w:rPr/>
      </w:pPr>
      <w:r>
        <w:rPr>
          <w:rFonts w:ascii="Times New Roman;serif" w:hAnsi="Times New Roman;serif"/>
          <w:b w:val="false"/>
          <w:color w:val="000000"/>
          <w:sz w:val="20"/>
        </w:rPr>
        <w:t>JPM is sole and exclusive administrative agent (in such capacity, the “</w:t>
      </w:r>
      <w:r>
        <w:rPr>
          <w:rFonts w:ascii="Times New Roman;serif" w:hAnsi="Times New Roman;serif"/>
          <w:b/>
          <w:color w:val="000000"/>
          <w:sz w:val="20"/>
        </w:rPr>
        <w:t>Term Loan B</w:t>
      </w:r>
      <w:r>
        <w:rPr>
          <w:color w:val="000000"/>
        </w:rPr>
        <w:t xml:space="preserve"> </w:t>
      </w:r>
      <w:r>
        <w:rPr>
          <w:rFonts w:ascii="Times New Roman;serif" w:hAnsi="Times New Roman;serif"/>
          <w:b/>
          <w:color w:val="000000"/>
          <w:sz w:val="20"/>
        </w:rPr>
        <w:t>Administrative Agent</w:t>
      </w:r>
      <w:r>
        <w:rPr>
          <w:color w:val="000000"/>
        </w:rPr>
        <w:t>”</w:t>
      </w:r>
      <w:r>
        <w:rPr>
          <w:rFonts w:ascii="Times New Roman;serif" w:hAnsi="Times New Roman;serif"/>
          <w:b w:val="false"/>
          <w:color w:val="000000"/>
          <w:sz w:val="20"/>
        </w:rPr>
        <w:t>) for the Term Loan B Facility. Bank of America, N.A. will continue to act as sole and exclusive administrative agent for the U.S. Term Facility, the Euro Term Facility and the Revolving Credit Facility (collectively, the “</w:t>
      </w:r>
      <w:r>
        <w:rPr>
          <w:rFonts w:ascii="Times New Roman;serif" w:hAnsi="Times New Roman;serif"/>
          <w:b/>
          <w:color w:val="000000"/>
          <w:sz w:val="20"/>
        </w:rPr>
        <w:t>Pro Rata Facilities</w:t>
      </w:r>
      <w:r>
        <w:rPr>
          <w:color w:val="000000"/>
        </w:rPr>
        <w:t>”</w:t>
      </w:r>
      <w:r>
        <w:rPr>
          <w:rFonts w:ascii="Times New Roman;serif" w:hAnsi="Times New Roman;serif"/>
          <w:b w:val="false"/>
          <w:color w:val="000000"/>
          <w:sz w:val="20"/>
        </w:rPr>
        <w:t>) and will act as collateral agent and general administrative agent for the Pro Rata Facilities and the Term Loan B Facility. As of the effective date of the Term Loan B Amendment, the aggregate principal balance of U.S. Term Loans is $0.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Loan B Facility bears interest, at the Company’s election, at the Base Rate or Term SOFR plus an Applicable Rate of 1.750% for Term SOFR Loans and 0.750% for Base Rate Loans. The Term Loan B Facility matures on October 1, 2033, and, at that time, all of the debt outstanding thereunder will be due and payable. The Term Loan B Facility provides for quarterly amortization payments equal to 0.25% of the initial aggregate principal amount of the Term B Loans, with the balance due at maturity. The Term Loan B Amendment also requires mandatory prepayments of Term B Loans from excess cash flow, subject to step-downs based on the Company’s Consolidated Net Leverage Ratio (50% if greater than 3.75 to 1.00, 25% if less than or equal to 3.75 to 1.00 but greater than 3.25 to 1.00, and 0% if less than or equal to 3.25 to 1.00), and subject to a $30,000,000 annual threshold below which no excess cash flow prepayment is required. In addition, the Term Loan B Amendment requires mandatory prepayments from 100% of the net cash proceeds of certain asset dispositions (subject to reinvestment rights and de minimis thresholds), 100% of the net cash proceeds from certain debt issuances not permitted under the Term Loan B Amendment, and 100% of certain extraordinary receipts (subject to reinvestment rights and de minimis thresholds). The Company is required to pay a prepayment premium equal to 1.00% of the Term B Loans prepaid or repriced in connection with a Repricing Event occurring within six months of October 1, 2026.</w:t>
      </w:r>
    </w:p>
    <w:p>
      <w:pPr>
        <w:pStyle w:val="TextBody"/>
        <w:bidi w:val="0"/>
        <w:spacing w:lineRule="auto" w:line="288" w:before="0" w:after="120"/>
        <w:ind w:left="0" w:right="0" w:firstLine="720"/>
        <w:jc w:val="both"/>
        <w:rPr/>
      </w:pPr>
      <w:r>
        <w:rPr>
          <w:rFonts w:ascii="Times New Roman;serif" w:hAnsi="Times New Roman;serif"/>
          <w:b w:val="false"/>
          <w:color w:val="000000"/>
          <w:sz w:val="20"/>
        </w:rPr>
        <w:t>The Company has the right to request incremental term loan tranches or increases to the Revolving Credit Facility or the Term Facility (collectively, “Incremental Facilities”), subject to certain conditions, in an aggregate amount not to exceed the sum of (A) the greater of (i) $331,000,000 and (ii) 100% of Consolidated EBITDA, plus (B) all voluntary prepayments, open market purchases (with credit for any purchases below par given for the cash amount of such purchase) and certain voluntary commitment reductions and (C) an unlimited amount so long as, after giving pro forma effect thereto (and assuming that such Incremental Facility is fully drawn) and any permitted acquisition, refinancing of debt or other event giving rise to a pro forma adjustment, (1) in the case of indebtedness that is secured on a pari passu lien basis with the Senior Credit Facilities, the Consolidated First Lien Net Leverage Ratio shall not exceed 3.50:1.00, (2) in the case of indebtedness that is secured on a junior lien basis with the Senior Credit Facilities, the Consolidated Secured Net Leverage Ratio shall not exceed 4.00:1.00 and (3) in the case of unsecured indebtedness, the Company would be in compliance with the leverage-based financial covenants set forth in the Existing Credit Agreement. The sum of clauses (A) plus (B) plus (C) is defined as the “</w:t>
      </w:r>
      <w:r>
        <w:rPr>
          <w:rFonts w:ascii="Times New Roman;serif" w:hAnsi="Times New Roman;serif"/>
          <w:b/>
          <w:color w:val="000000"/>
          <w:sz w:val="20"/>
        </w:rPr>
        <w:t>Incremental Available Amount</w:t>
      </w:r>
      <w:r>
        <w:rPr>
          <w:rFonts w:ascii="Times New Roman;serif" w:hAnsi="Times New Roman;serif"/>
          <w:b w:val="false"/>
          <w:color w:val="000000"/>
          <w:sz w:val="20"/>
        </w:rPr>
        <w:t>.” The interest rate margins applicable to any Incremental Facility that is a “term B” facility incurred within six months of October 1, 2026 and secured on a pari passu basis with the Term Loan B Facility are subject to a “most favored nation” provision requiring a step-up of the Applicable Rate for the Term B Loans if the all-in yield on such incremental term B facility exceeds the all-in yield on the Term B Loans by more than 0.50%.</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customary conditions, in lieu of adding Incremental Facilities, the Company has the right to issue or incur Incremental Equivalent Debt in an amount not to exceed the then available Incremental Available Amount, subject to customary conditions regarding guarantees, ranking, security and intercreditor arrangements.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Loan B Facility is guaranteed by certain of the Company’s domestic subsidiaries and is secured by first priority liens on substantially all of the assets of the Company and the subsidiary guarantors, subject to certain customary exclusions.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B Amendment contains customary affirmative and negative covenants, including without limitation restrictions on the incurrence of additional indebtedness, investments and acquisitions, dividends and other restricted payments, and dispositions of assets, in each case subject to exceptions, qualifications and baskets consistent with the Existing Credit Agreement.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B Amendment contains customary events of default, including without limitation defaults for non-payment, breach of representations and warranties, non-performance of covenants, cross-defaults, insolvency, and a change of control. The Term B Facility benefits from a covenant-lite structure under which a breach of the financial maintenance covenants does not constitute an Event of Default with respect to the Term B Facility unless and until all Required Pro Rata Facilities Lenders have declared all Obligations in respect of the Pro Rata Facilities to be immediately due and payable. The occurrence of an event of 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 the Credit Agreement could result in all loans and other obligations becoming immediately due and payable and the Credit Agreement being terminated.</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Administrative Agents and certain of the Lenders party to the Term Loan B Amendment have provided, and may in the future provide, normal banking, investment banking and/or advisory services for the Company and/or its affiliates from time to time, for which they have received, or may in the future receive, customary fees and expenses.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intends to file the full text of the Term Loan B Amendment as an Exhibit to the Company’s quarterly report for the quarter ended September 30, 2026.</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2026, the Company issued a press release announcing the execution of the Amended Credit Agreement, a copy of which is attached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Item 1.01 of this Current Report on Form 8-K is hereby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as part of this report:</w:t>
      </w:r>
    </w:p>
    <w:tbl>
      <w:tblPr>
        <w:tblW w:w="88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2195"/>
        <w:gridCol w:w="2195"/>
        <w:gridCol w:w="3109"/>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991debtamendment2.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a991debtamendment2.htm">
              <w:r>
                <w:rPr>
                  <w:rStyle w:val="InternetLink"/>
                  <w:rFonts w:ascii="Times New Roman;serif" w:hAnsi="Times New Roman;serif"/>
                  <w:b w:val="false"/>
                  <w:color w:val="0000FF"/>
                  <w:sz w:val="20"/>
                  <w:u w:val="single"/>
                </w:rPr>
                <w:t>Press Release of Quaker Chemical Corporation dated October 1, 2026 (furnished herewith).</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68"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Pursuant to Item 601(a)(5) of Regulation S-K, the appendices, exhibits and schedules to Exhibit 10.1 have been omitted from this report and will be furnished supplementally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870" w:type="dxa"/>
        <w:jc w:val="left"/>
        <w:tblInd w:w="0" w:type="dxa"/>
        <w:tblLayout w:type="fixed"/>
        <w:tblCellMar>
          <w:top w:w="28" w:type="dxa"/>
          <w:left w:w="28" w:type="dxa"/>
          <w:bottom w:w="28" w:type="dxa"/>
          <w:right w:w="28" w:type="dxa"/>
        </w:tblCellMar>
      </w:tblPr>
      <w:tblGrid>
        <w:gridCol w:w="689"/>
        <w:gridCol w:w="606"/>
        <w:gridCol w:w="610"/>
        <w:gridCol w:w="532"/>
        <w:gridCol w:w="532"/>
        <w:gridCol w:w="532"/>
        <w:gridCol w:w="1568"/>
        <w:gridCol w:w="1568"/>
        <w:gridCol w:w="2233"/>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QUAKER CHEMICAL CORPORATION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 2026</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T. TRAUB</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T. Traub</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General Counsel and Corporate Secretary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92" w:before="0" w:after="0"/>
        <w:jc w:val="both"/>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92" w:before="0" w:after="60"/>
        <w:jc w:val="left"/>
        <w:rPr>
          <w:rFonts w:ascii="Arial;sans-serif" w:hAnsi="Arial;sans-serif"/>
          <w:b/>
          <w:color w:val="002C71"/>
          <w:sz w:val="90"/>
        </w:rPr>
      </w:pPr>
      <w:r>
        <w:rPr>
          <w:rFonts w:ascii="Arial;sans-serif" w:hAnsi="Arial;sans-serif"/>
          <w:b/>
          <w:color w:val="002C71"/>
          <w:sz w:val="90"/>
        </w:rPr>
        <w:t xml:space="preserve">News </w:t>
      </w:r>
    </w:p>
    <w:tbl>
      <w:tblPr>
        <w:tblW w:w="5895" w:type="dxa"/>
        <w:jc w:val="left"/>
        <w:tblInd w:w="0" w:type="dxa"/>
        <w:tblLayout w:type="fixed"/>
        <w:tblCellMar>
          <w:top w:w="28" w:type="dxa"/>
          <w:left w:w="28" w:type="dxa"/>
          <w:bottom w:w="28" w:type="dxa"/>
          <w:right w:w="28" w:type="dxa"/>
        </w:tblCellMar>
      </w:tblPr>
      <w:tblGrid>
        <w:gridCol w:w="1064"/>
        <w:gridCol w:w="935"/>
        <w:gridCol w:w="935"/>
        <w:gridCol w:w="935"/>
        <w:gridCol w:w="935"/>
        <w:gridCol w:w="937"/>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741" w:type="dxa"/>
            <w:gridSpan w:val="6"/>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581400" cy="7810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581400" cy="781050"/>
                          </a:xfrm>
                          <a:prstGeom prst="rect">
                            <a:avLst/>
                          </a:prstGeom>
                        </pic:spPr>
                      </pic:pic>
                    </a:graphicData>
                  </a:graphic>
                </wp:inline>
              </w:drawing>
            </w:r>
          </w:p>
        </w:tc>
        <w:tc>
          <w:tcPr>
            <w:tcW w:w="154" w:type="dxa"/>
            <w:tcBorders/>
          </w:tcPr>
          <w:p>
            <w:pPr>
              <w:pStyle w:val="TableContents"/>
              <w:bidi w:val="0"/>
              <w:spacing w:before="0" w:after="283"/>
              <w:jc w:val="left"/>
              <w:rPr>
                <w:sz w:val="4"/>
                <w:szCs w:val="4"/>
              </w:rPr>
            </w:pPr>
            <w:r>
              <w:rPr>
                <w:sz w:val="4"/>
                <w:szCs w:val="4"/>
              </w:rPr>
            </w:r>
          </w:p>
        </w:tc>
      </w:tr>
      <w:tr>
        <w:trPr/>
        <w:tc>
          <w:tcPr>
            <w:tcW w:w="5741" w:type="dxa"/>
            <w:gridSpan w:val="6"/>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1924"/>
        <w:gridCol w:w="1692"/>
        <w:gridCol w:w="1694"/>
        <w:gridCol w:w="883"/>
        <w:gridCol w:w="883"/>
        <w:gridCol w:w="1248"/>
      </w:tblGrid>
      <w:tr>
        <w:trPr/>
        <w:tc>
          <w:tcPr>
            <w:tcW w:w="192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Arial;sans-serif" w:hAnsi="Arial;sans-serif"/>
                <w:b/>
                <w:color w:val="002C71"/>
                <w:sz w:val="20"/>
              </w:rPr>
            </w:pPr>
            <w:r>
              <w:rPr>
                <w:rFonts w:ascii="Arial;sans-serif" w:hAnsi="Arial;sans-serif"/>
                <w:b/>
                <w:color w:val="002C71"/>
                <w:sz w:val="20"/>
              </w:rPr>
              <w:t xml:space="preserve">Investor Contact: </w:t>
            </w:r>
          </w:p>
          <w:p>
            <w:pPr>
              <w:pStyle w:val="TableContents"/>
              <w:bidi w:val="0"/>
              <w:spacing w:lineRule="auto" w:line="292" w:before="0" w:after="0"/>
              <w:jc w:val="left"/>
              <w:rPr>
                <w:rFonts w:ascii="Arial;sans-serif" w:hAnsi="Arial;sans-serif"/>
                <w:b w:val="false"/>
                <w:color w:val="000000"/>
                <w:sz w:val="20"/>
              </w:rPr>
            </w:pPr>
            <w:r>
              <w:rPr>
                <w:rFonts w:ascii="Arial;sans-serif" w:hAnsi="Arial;sans-serif"/>
                <w:b w:val="false"/>
                <w:color w:val="000000"/>
                <w:sz w:val="20"/>
              </w:rPr>
              <w:t>John Dalhoff</w:t>
            </w:r>
          </w:p>
          <w:p>
            <w:pPr>
              <w:pStyle w:val="TableContents"/>
              <w:bidi w:val="0"/>
              <w:spacing w:lineRule="auto" w:line="292" w:before="0" w:after="0"/>
              <w:jc w:val="left"/>
              <w:rPr>
                <w:rFonts w:ascii="Arial;sans-serif" w:hAnsi="Arial;sans-serif"/>
                <w:b w:val="false"/>
                <w:color w:val="000000"/>
                <w:sz w:val="20"/>
              </w:rPr>
            </w:pPr>
            <w:r>
              <w:rPr>
                <w:rFonts w:ascii="Arial;sans-serif" w:hAnsi="Arial;sans-serif"/>
                <w:b w:val="false"/>
                <w:color w:val="000000"/>
                <w:sz w:val="20"/>
              </w:rPr>
              <w:t xml:space="preserve">Director, Investor Relations investor@quakerhoughton.com </w:t>
            </w:r>
          </w:p>
          <w:p>
            <w:pPr>
              <w:pStyle w:val="TableContents"/>
              <w:bidi w:val="0"/>
              <w:spacing w:lineRule="auto" w:line="292" w:before="0" w:after="0"/>
              <w:jc w:val="left"/>
              <w:rPr>
                <w:rFonts w:ascii="Arial;sans-serif" w:hAnsi="Arial;sans-serif"/>
                <w:b w:val="false"/>
                <w:color w:val="000000"/>
                <w:sz w:val="20"/>
              </w:rPr>
            </w:pPr>
            <w:r>
              <w:rPr>
                <w:rFonts w:ascii="Arial;sans-serif" w:hAnsi="Arial;sans-serif"/>
                <w:b w:val="false"/>
                <w:color w:val="000000"/>
                <w:sz w:val="20"/>
              </w:rPr>
              <w:t>T.+1.610.684.7822</w:t>
            </w:r>
          </w:p>
        </w:tc>
        <w:tc>
          <w:tcPr>
            <w:tcW w:w="3014" w:type="dxa"/>
            <w:gridSpan w:val="3"/>
            <w:tcBorders/>
            <w:tcMar>
              <w:top w:w="0" w:type="dxa"/>
              <w:left w:w="0" w:type="dxa"/>
              <w:bottom w:w="0" w:type="dxa"/>
              <w:right w:w="0" w:type="dxa"/>
            </w:tcMar>
            <w:vAlign w:val="center"/>
          </w:tcPr>
          <w:p>
            <w:pPr>
              <w:pStyle w:val="TableContents"/>
              <w:bidi w:val="0"/>
              <w:spacing w:lineRule="auto" w:line="292" w:before="0" w:after="0"/>
              <w:jc w:val="left"/>
              <w:rPr>
                <w:rFonts w:ascii="Arial;sans-serif" w:hAnsi="Arial;sans-serif"/>
                <w:b/>
                <w:color w:val="002C71"/>
                <w:sz w:val="20"/>
              </w:rPr>
            </w:pPr>
            <w:r>
              <w:rPr>
                <w:rFonts w:ascii="Arial;sans-serif" w:hAnsi="Arial;sans-serif"/>
                <w:b/>
                <w:color w:val="002C71"/>
                <w:sz w:val="20"/>
              </w:rPr>
              <w:t>Media Contact:</w:t>
            </w:r>
          </w:p>
          <w:p>
            <w:pPr>
              <w:pStyle w:val="TableContents"/>
              <w:bidi w:val="0"/>
              <w:spacing w:lineRule="auto" w:line="292" w:before="0" w:after="0"/>
              <w:jc w:val="left"/>
              <w:rPr>
                <w:rFonts w:ascii="Arial;sans-serif" w:hAnsi="Arial;sans-serif"/>
                <w:b w:val="false"/>
                <w:color w:val="000000"/>
                <w:sz w:val="20"/>
              </w:rPr>
            </w:pPr>
            <w:r>
              <w:rPr>
                <w:rFonts w:ascii="Arial;sans-serif" w:hAnsi="Arial;sans-serif"/>
                <w:b w:val="false"/>
                <w:color w:val="000000"/>
                <w:sz w:val="20"/>
              </w:rPr>
              <w:t>Melissa McClain</w:t>
            </w:r>
          </w:p>
          <w:p>
            <w:pPr>
              <w:pStyle w:val="TableContents"/>
              <w:bidi w:val="0"/>
              <w:spacing w:lineRule="auto" w:line="292" w:before="0" w:after="0"/>
              <w:jc w:val="left"/>
              <w:rPr>
                <w:rFonts w:ascii="Arial;sans-serif" w:hAnsi="Arial;sans-serif"/>
                <w:b w:val="false"/>
                <w:color w:val="000000"/>
                <w:sz w:val="20"/>
              </w:rPr>
            </w:pPr>
            <w:r>
              <w:rPr>
                <w:rFonts w:ascii="Arial;sans-serif" w:hAnsi="Arial;sans-serif"/>
                <w:b w:val="false"/>
                <w:color w:val="000000"/>
                <w:sz w:val="20"/>
              </w:rPr>
              <w:t>Director, Global Communications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media@quakerhoughton.com</w:t>
            </w:r>
          </w:p>
          <w:p>
            <w:pPr>
              <w:pStyle w:val="TableContents"/>
              <w:bidi w:val="0"/>
              <w:spacing w:lineRule="auto" w:line="292" w:before="0" w:after="0"/>
              <w:jc w:val="left"/>
              <w:rPr>
                <w:rFonts w:ascii="Arial;sans-serif" w:hAnsi="Arial;sans-serif"/>
                <w:b w:val="false"/>
                <w:color w:val="000000"/>
                <w:sz w:val="20"/>
              </w:rPr>
            </w:pPr>
            <w:r>
              <w:rPr>
                <w:rFonts w:ascii="Arial;sans-serif" w:hAnsi="Arial;sans-serif"/>
                <w:b w:val="false"/>
                <w:color w:val="000000"/>
                <w:sz w:val="20"/>
              </w:rPr>
              <w:t>T. +1.610.832.7809</w:t>
            </w:r>
          </w:p>
        </w:tc>
      </w:tr>
    </w:tbl>
    <w:p>
      <w:pPr>
        <w:pStyle w:val="TextBody"/>
        <w:bidi w:val="0"/>
        <w:spacing w:before="0" w:after="0"/>
        <w:jc w:val="left"/>
        <w:rPr/>
      </w:pPr>
      <w:r>
        <w:rPr/>
      </w:r>
    </w:p>
    <w:p>
      <w:pPr>
        <w:pStyle w:val="TextBody"/>
        <w:bidi w:val="0"/>
        <w:spacing w:lineRule="auto" w:line="292" w:before="0" w:after="0"/>
        <w:jc w:val="left"/>
        <w:rPr/>
      </w:pPr>
      <w:r>
        <w:rPr>
          <w:rFonts w:ascii="Arial;sans-serif" w:hAnsi="Arial;sans-serif"/>
          <w:b/>
          <w:color w:val="002C71"/>
          <w:sz w:val="22"/>
        </w:rPr>
        <w:t>For Release:</w:t>
      </w:r>
      <w:r>
        <w:rPr>
          <w:color w:val="000000"/>
        </w:rPr>
        <w:t xml:space="preserve"> </w:t>
      </w:r>
      <w:r>
        <w:rPr>
          <w:rFonts w:ascii="Arial;sans-serif" w:hAnsi="Arial;sans-serif"/>
          <w:b w:val="false"/>
          <w:color w:val="000000"/>
          <w:sz w:val="20"/>
        </w:rPr>
        <w:t>Immediate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Arial;sans-serif" w:hAnsi="Arial;sans-serif"/>
          <w:b/>
          <w:color w:val="000000"/>
          <w:sz w:val="32"/>
        </w:rPr>
      </w:pPr>
      <w:r>
        <w:rPr>
          <w:rFonts w:ascii="Arial;sans-serif" w:hAnsi="Arial;sans-serif"/>
          <w:b/>
          <w:color w:val="000000"/>
          <w:sz w:val="32"/>
        </w:rPr>
        <w:t>Quaker Houghton Announces Successful Completion of Term Loan B Refinancing in Leverage-Neutral Transaction</w:t>
      </w:r>
    </w:p>
    <w:p>
      <w:pPr>
        <w:pStyle w:val="TextBody"/>
        <w:bidi w:val="0"/>
        <w:spacing w:before="0" w:after="0"/>
        <w:jc w:val="left"/>
        <w:rPr/>
      </w:pPr>
      <w:r>
        <w:rPr/>
      </w:r>
    </w:p>
    <w:p>
      <w:pPr>
        <w:pStyle w:val="TextBody"/>
        <w:bidi w:val="0"/>
        <w:spacing w:lineRule="auto" w:line="288" w:before="0" w:after="240"/>
        <w:jc w:val="both"/>
        <w:rPr/>
      </w:pPr>
      <w:r>
        <w:rPr>
          <w:rFonts w:ascii="Arial;sans-serif" w:hAnsi="Arial;sans-serif"/>
          <w:b/>
          <w:color w:val="000000"/>
          <w:sz w:val="20"/>
        </w:rPr>
        <w:t xml:space="preserve">CONSHOHOCKEN, PA (October 1, 2026) /PRNewswire/ - </w:t>
      </w:r>
      <w:r>
        <w:rPr>
          <w:rFonts w:ascii="Arial;sans-serif" w:hAnsi="Arial;sans-serif"/>
          <w:b w:val="false"/>
          <w:color w:val="000000"/>
          <w:sz w:val="20"/>
        </w:rPr>
        <w:t xml:space="preserve">Quaker Houghton (NYSE: KWR), the global leader in industrial process fluids, announced today that it has successfully closed on a new 7-year U.S. dollar-denominated Term Loan B facility with an aggregate principal amount of $550 million. The Term Loan B amends the Company’s existing Credit Agreement, and proceeds will be used to repay in full the U.S. Term Loans outstanding under that agreement.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Term Loan B matures in October 2033 and is priced at SOFR +175 basis points. Quarterly amortization payments will equal 0.25% of the initial aggregate principal amount of the loan, with the balance due at maturity.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Commenting on the transaction, Joseph Berquist, Chief Executive Officer, said, “The completion of this Term Loan B provides greater flexibility in our capital structure by extending our debt maturity profile and reducing required annual debt payments. This transaction positions us to continue investing in strategic growth initiatives while maintaining our commitment to disciplined capital allocation and value creation. We are pleased with the strong support from the lending community, which reflects confidence in Quaker Houghton’s market leadership, cash flow generation, and long-term growth strategy.”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JPMorgan Chase Bank, N.A. acted as the administrative agent for the transaction.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About Quaker Houghton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With approximately 4,700 employees, including chemists, engineers and industry experts, we partner with our customers to improve their operations so they can run even more efficiently, even more effectively, whatever comes next. Quaker Houghton is headquartered in Conshohocken, Pennsylvania, located near Philadelphia in the United States. Visit quakerhoughton.com to learn more.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that fall under the safe harbor provisions of the Private Securities Litigation Reform Act of 1995 and the Securities Act of 1933, as amended. These statements can be identified by the fact that they do not relate strictly to historical or current facts. We have based these forward-looking statements on assumptions, projections and expectations about future events that we believe are reasonable based on currently available information, including statements regarding the potential effects of economic downturns; tariffs, including retaliatory tariffs, "trade wars" and uncertainty surrounding changes in tariffs;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 These forward-looking statements include statements with respect to our beliefs, plans, objectives, goals, expectations, anticipations, intentions, financial condition, results of operations, future performance, and business, which may differ materially from our actual results, including but not limited to the potential benefits of acquisitions and divestitures, the impacts on our business as a result of global supply chain constraints and other macroeconomic stresses and uncertainties, including political and geopolitical events, civil disturbances and endemics/pandemics or extreme weather events and other natural disasters that may adversely affect regional economic conditions, and our current and future results and plans and statements that include the words "may," "could," "should," "would," "believe," "expect," "anticipate," "estimate," "intend," "outlook," "target," "possible," "potential," "plan" or similar expressions. Such statements include information relating to current and future business activities, operational matters, capital spending, and financing sources. A major risk is that demand for the Company's products and services is largely derived from the demand for its customers' products, which subjects the Company to uncertainties related to downturns in a customer's business and unanticipated customer production slowdowns and shutdowns. Other major risks and uncertainties include, but are not limited to, inflationary pressures, including increases in raw material costs; supply chain constraints and the impacts of economic downturns; customer financial instability; high interest rates and their impact on our and our customers' business operations; the impacts from acts of war, terrorism and military conflicts, including those in Ukraine and the Middle East as well as economic, political and governmental actions taken by various governments and government organizations in response; economic and political disruptions particularly in light of numerous elections globally and the possibility of regime changes; the possibility of economic recession; legislative and regulatory developments including changes to existing laws and regulations, or the way they are interpreted, applied or enforced; tariffs, trade restrictions, and the economic and other sanctions imposed by other nations on Russia and Belarus and/or other government organizations; suspensions of activities in Russia by many multinational companies; foreign currency fluctuations; significant changes in applicable tax rates and regulations and the potential impacts therefrom, including those arising from H.R.1, commonly known as the "One Big Beautiful Bill Act"; terrorist attacks and other acts of violence; the impacts of consolidation in our industry, including loss or consolidation of a major customer, the effects of climate change, fires, or other natural disasters; and the potential occurrence of cyber-security breaches, cyber-security attacks and other technology outages and security incidents. Furthermore, the Company is subject to the same business cycles as those experienced by our customers in the steel, automobile, aircraft, industrial equipment, aluminum and durable goods industries.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 All forward-looking statements included in this press release, including expectations about future periods, are based upon information available to the Company as of the date of this press release, which may change. Therefore, we caution you not to place undue reliance on our forward-looking statements. For more information regarding these risks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and uncertainties as well as certain additional risks that we face, refer to the Risk Factors section, which appears in Item 1A of our Annual Report on Form 10-K for the year ended December 31, 2025, and in subsequent reports filed from time to time with the Securities and Exchange Commission. We do not intend to, and we disclaim any duty or obligation to, update or revise any forward-looking statements to reflect new information or future events or for any other reason.</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2824</Words>
  <Characters>16002</Characters>
  <CharactersWithSpaces>18748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