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90170</wp:posOffset>
            </wp:positionV>
            <wp:extent cx="1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SD/A</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240665</wp:posOffset>
            </wp:positionV>
            <wp:extent cx="1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253365</wp:posOffset>
            </wp:positionV>
            <wp:extent cx="1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23-0993790</w:t>
            </w:r>
          </w:p>
        </w:tc>
      </w:tr>
      <w:tr>
        <w:trPr>
          <w:trHeight w:val="193"/>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5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4"/>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9"/>
              </w:rPr>
              <w:t>901 E. Hector Street,</w:t>
            </w:r>
          </w:p>
        </w:tc>
        <w:tc>
          <w:tcPr>
            <w:tcW w:w="5160" w:type="dxa"/>
            <w:vAlign w:val="bottom"/>
          </w:tcPr>
          <w:p>
            <w:pPr>
              <w:spacing w:after="0"/>
              <w:rPr>
                <w:sz w:val="24"/>
                <w:szCs w:val="24"/>
                <w:color w:val="auto"/>
              </w:rPr>
            </w:pPr>
          </w:p>
        </w:tc>
      </w:tr>
      <w:tr>
        <w:trPr>
          <w:trHeight w:val="238"/>
        </w:trPr>
        <w:tc>
          <w:tcPr>
            <w:tcW w:w="608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9"/>
              </w:rPr>
              <w:t>Conshohocken, Pennsylvania</w:t>
            </w:r>
          </w:p>
        </w:tc>
        <w:tc>
          <w:tcPr>
            <w:tcW w:w="5160" w:type="dxa"/>
            <w:vAlign w:val="bottom"/>
          </w:tcPr>
          <w:p>
            <w:pPr>
              <w:spacing w:after="0"/>
              <w:rPr>
                <w:sz w:val="20"/>
                <w:szCs w:val="20"/>
                <w:color w:val="auto"/>
              </w:rPr>
            </w:pPr>
          </w:p>
        </w:tc>
      </w:tr>
      <w:tr>
        <w:trPr>
          <w:trHeight w:val="259"/>
        </w:trPr>
        <w:tc>
          <w:tcPr>
            <w:tcW w:w="6080" w:type="dxa"/>
            <w:vAlign w:val="bottom"/>
          </w:tcPr>
          <w:p>
            <w:pPr>
              <w:spacing w:after="0"/>
              <w:rPr>
                <w:sz w:val="22"/>
                <w:szCs w:val="22"/>
                <w:color w:val="auto"/>
              </w:rPr>
            </w:pP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19428-2380</w:t>
            </w:r>
          </w:p>
        </w:tc>
      </w:tr>
      <w:tr>
        <w:trPr>
          <w:trHeight w:val="190"/>
        </w:trPr>
        <w:tc>
          <w:tcPr>
            <w:tcW w:w="608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3"/>
        </w:trPr>
        <w:tc>
          <w:tcPr>
            <w:tcW w:w="60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3563620</wp:posOffset>
            </wp:positionH>
            <wp:positionV relativeFrom="paragraph">
              <wp:posOffset>-33655</wp:posOffset>
            </wp:positionV>
            <wp:extent cx="15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7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T. Traub, Esquire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Phone Number: (610) 832-4000</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37" w:lineRule="exact"/>
        <w:rPr>
          <w:sz w:val="24"/>
          <w:szCs w:val="24"/>
          <w:color w:val="auto"/>
        </w:rPr>
      </w:pPr>
    </w:p>
    <w:p>
      <w:pPr>
        <w:ind w:left="380" w:hanging="372"/>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2025 to December 31, 2025.</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is being filed solely to correct an Edgar filing error. No other changes were made to the filing.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This Specialized Disclosure Report on Form SD (this “Form SD”) of Quaker Chemical Corporation (the “Company”) is filed pursuant to Rule 13p-1 promulgated under the Securities Exchange Act of 1934, as amended (the “Exchange Act”), for the reporting period January 1, 2025 to December 31, 2025. Pursuant to Rule 13p-1 and Section 13(p) of the Exchange Act, which implements Section 1502 of the Dodd-Frank Wall Street Reform and Consumer Protection Act, the Company is required to make certain inquiries and perform certain due diligence with respect to any “conflict minerals” (as defined by paragraph (d)(3) of Item 1.01 of Form SD) that are necessary to the functionality or production of a product manufactured (or contracted to be manufactured) by the Company or any of its subsidiaries.</w:t>
      </w:r>
    </w:p>
    <w:p>
      <w:pPr>
        <w:spacing w:after="0" w:line="21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under the “Governance Overview” section under the “Investors” tab of the Company’s website at www.quakerhoughton.com. References to the Company’s website are provided for convenience only, and its contents are not incorporated by reference into this Form SD or the Conflict Minerals Report, nor are they deemed filed with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63" w:lineRule="exact"/>
        <w:rPr>
          <w:sz w:val="20"/>
          <w:szCs w:val="20"/>
          <w:color w:val="auto"/>
        </w:rPr>
      </w:pPr>
    </w:p>
    <w:p>
      <w:pPr>
        <w:ind w:left="1620" w:right="240" w:hanging="1592"/>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FF"/>
        </w:rPr>
        <w:t>Conflict Minerals Report of Quaker Chemical Corporation for the period of January 1, 2025 to December 31, 2025, as required by Items 1.01 and 1.02 of this Form.</w:t>
      </w:r>
    </w:p>
    <w:p>
      <w:pPr>
        <w:sectPr>
          <w:pgSz w:w="11900" w:h="16838" w:orient="portrait"/>
          <w:cols w:equalWidth="0" w:num="1">
            <w:col w:w="11240"/>
          </w:cols>
          <w:pgMar w:left="320" w:top="1400" w:right="339" w:bottom="1440" w:gutter="0" w:footer="0" w:header="0"/>
        </w:sectPr>
      </w:pPr>
    </w:p>
    <w:bookmarkStart w:id="2" w:name="page3"/>
    <w:bookmarkEnd w:id="2"/>
    <w:p>
      <w:pPr>
        <w:spacing w:after="0" w:line="14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QUAKER CHEMICAL CORPORATION</w:t>
            </w:r>
          </w:p>
        </w:tc>
      </w:tr>
      <w:tr>
        <w:trPr>
          <w:trHeight w:val="49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8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Robert T. Traub</w:t>
            </w:r>
          </w:p>
        </w:tc>
      </w:tr>
      <w:tr>
        <w:trPr>
          <w:trHeight w:val="218"/>
        </w:trPr>
        <w:tc>
          <w:tcPr>
            <w:tcW w:w="2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T. Traub, Esquire</w:t>
            </w:r>
          </w:p>
        </w:tc>
      </w:tr>
      <w:tr>
        <w:trPr>
          <w:trHeight w:val="234"/>
        </w:trPr>
        <w:tc>
          <w:tcPr>
            <w:tcW w:w="2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ectPr>
          <w:pgSz w:w="11900" w:h="16838" w:orient="portrait"/>
          <w:cols w:equalWidth="0" w:num="1">
            <w:col w:w="10420"/>
          </w:cols>
          <w:pgMar w:left="320" w:top="1440" w:right="1159" w:bottom="1440" w:gutter="0" w:footer="0" w:header="0"/>
        </w:sectPr>
      </w:pPr>
    </w:p>
    <w:bookmarkStart w:id="3" w:name="page4"/>
    <w:bookmarkEnd w:id="3"/>
    <w:p>
      <w:pPr>
        <w:spacing w:after="0" w:line="127" w:lineRule="exact"/>
        <w:rPr>
          <w:sz w:val="20"/>
          <w:szCs w:val="20"/>
          <w:color w:val="auto"/>
        </w:rPr>
      </w:pPr>
    </w:p>
    <w:p>
      <w:pPr>
        <w:ind w:right="640"/>
        <w:spacing w:after="0" w:line="392" w:lineRule="auto"/>
        <w:rPr>
          <w:sz w:val="20"/>
          <w:szCs w:val="20"/>
          <w:color w:val="auto"/>
        </w:rPr>
      </w:pPr>
      <w:r>
        <w:rPr>
          <w:rFonts w:ascii="Times New Roman" w:cs="Times New Roman" w:eastAsia="Times New Roman" w:hAnsi="Times New Roman"/>
          <w:sz w:val="22"/>
          <w:szCs w:val="22"/>
          <w:b w:val="1"/>
          <w:bCs w:val="1"/>
          <w:color w:val="auto"/>
        </w:rPr>
        <w:t>Conflict Minerals Report of Quaker Chemical Corporation for the period of January 1, 2025 to December 31, 2025 1. Introduction</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This Conflict Minerals Report describes the due diligence process of Quaker Chemical Corporation, doing business as Quaker Houghton, and its subsidiaries and affiliates listed on Exhibit 21 of its 10-K filed with Securities and Exchange Commission (the “Company,” and “Quaker Houghton”), in accordance with the requirements of Rule 13p-1 of the Securities Exchange Act or 1934, as amended. This report combines the activities of Quaker Houghton and its subsidiaries. In 2025, Quaker Houghton completed the acquisition of three companies: 1) Chemical Solutions &amp; Innovations Pty. Ltd. (“CSI”); 2) Dipsol Chemicals Co. Ltd.; and 3) Natech Limited. Consistent with the Securities and Exchange Commission requirements for newly acquired companies, Quaker Houghton is not reporting on the products manufactured by these companies in this report. To the extent these newly acquired companies have products that contain tin, tungsten, tantalum or gold as necessary components for the functionality or production of the products, these products will be included in the report filed next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Overview</w:t>
      </w:r>
    </w:p>
    <w:p>
      <w:pPr>
        <w:spacing w:after="0" w:line="1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2"/>
          <w:szCs w:val="22"/>
          <w:color w:val="auto"/>
        </w:rPr>
        <w:t>Quaker Houghton was organized in 1918, incorporated as a Pennsylvania business corporation in 1930, and in August 2019 completed a combination with Houghton International Inc.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specialty chemical products and offers chemical management services for various heavy industrial and manufacturing applications throughout its three segments: Americas; Europe, Middle East, and Africa; and Asia-Pacific.</w:t>
      </w:r>
    </w:p>
    <w:p>
      <w:pPr>
        <w:spacing w:after="0" w:line="1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2"/>
          <w:szCs w:val="22"/>
          <w:color w:val="auto"/>
        </w:rPr>
        <w:t>The major product lines of Quaker Houghton include metal removal fluids, cleaning fluids, corrosion inhibitors, metal drawing and forming fluids, die cast mold releases, heat treatment and quenchants, metal forging fluids, hydraulic fluids, surface solutions, specialty greases, offshore sub-sea energy control fluids, rolling lubricants, and rod and wire drawing fluids. Certain of Quaker Houghton’s products include tin, tungsten and gold which are necessary to the functionality or production of these products. Tin, tantalum, tungsten, and gold are referred to collectively as “3TG.” Covered Countries refers to the Democratic Republic of the Congo (“DRC”) or an adjoining country, i.e., a country that shares an internationally recognized border with the DRC.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Reasonable Country of Origin and Due Diligence</w:t>
      </w:r>
    </w:p>
    <w:p>
      <w:pPr>
        <w:spacing w:after="0" w:line="156"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22"/>
          <w:szCs w:val="22"/>
          <w:color w:val="auto"/>
        </w:rPr>
        <w:t>To implement a reasonable country of origin inquiry (“RCOI”) for the 3TG supplied to Quaker Houghton, the Company conducted an internal analysis of its products and components to identify those that contain tin, tungsten, tantalum or gold. Quaker Houghton’s analysis identified</w:t>
      </w:r>
    </w:p>
    <w:p>
      <w:pPr>
        <w:sectPr>
          <w:pgSz w:w="11900" w:h="16838" w:orient="portrait"/>
          <w:cols w:equalWidth="0" w:num="1">
            <w:col w:w="11220"/>
          </w:cols>
          <w:pgMar w:left="320" w:top="1440" w:right="359" w:bottom="1440" w:gutter="0" w:footer="0" w:header="0"/>
        </w:sectPr>
      </w:pPr>
    </w:p>
    <w:bookmarkStart w:id="4" w:name="page5"/>
    <w:bookmarkEnd w:id="4"/>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approximately 34 products that contain tin, tungsten, or gold, some of which is sourced from recycled scrap.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Quaker Houghton did not identify any products that contain tantalum. Quaker Houghton retained a third-party vendor, GreenSoft Technologies (“GreenSoft”), to collect relevant information from the Company’s suppliers of 3TG. Quaker Houghton reviewed and evaluated information provided by its tin, tungsten, or gold suppliers and prepared a Conflict Minerals Reporting Template (“CMRT”) in accordance with the instructions provided by the Responsible Minerals Initiative (“RMI”). The Company received responses from all of its 15 suppliers of 3TG, reflecting a response rate of 100%. Some suppliers provided responsive information through a company-level CMRT. As a result, some of the smelters listed in this report may not be used to source 3TG incorporated into Quaker Houghton products.</w:t>
      </w:r>
    </w:p>
    <w:p>
      <w:pPr>
        <w:spacing w:after="0" w:line="2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Quaker Houghton’s due diligence process is based on the Organization for Economic Co-operation and Development’s Due Diligence Guidance for Responsible Supply Chains of Minerals from Conflict-Affected and High-Risk Areas and accompanying supplements (the “OECD Framework”), which is an internationally recognized due diligence framework. Quaker Houghton has adopted a Conflict Minerals Policy Statement that expresses the Company’s commitment to the responsible sourcing of 3TG minerals necessary for the production and functionality of its products. The Company’s Conflict Minerals Policy Statement is publicly available on the Company’s website at: https://investors.quakerhoughton.com/corporate-governance under Corporate Governance, Governance Overview. Quaker Houghton has a Supplier Code of Conduct, which is based on the UN Global Compact Initiative and the global chemical Responsible Care program, and is available on the Company’s website: Policies - Quaker Houghton Quaker Houghton’s Supplier Code of Conduct requires suppliers to abide by all applicable laws and regulations related to conflict minerals and to lawfully and ethically source goods and materials consistent with conflict mineral regulations, including but not limited to: 1) Section 1502 of the U.S. Dodd-Frank Act: 2) EU Conflict Minerals Regulation (Regulation EU 2017/821); and 3) OECD Due Diligence Guidelines for Responsible Supply Chains of Minerals from Conflict-Affected and High-Risk Areas.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Smelters</w:t>
      </w:r>
    </w:p>
    <w:p>
      <w:pPr>
        <w:spacing w:after="0" w:line="15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21"/>
          <w:szCs w:val="21"/>
          <w:color w:val="auto"/>
        </w:rPr>
        <w:t>Quaker Houghton through its consultant, GreenSoft, compared the 3TG smelters identified in the CMRTs provided by its suppliers to the facilities identified by the RMI Responsible Minerals Assurance Process (“RMAP”) as conformant. The RMAP assesses facilities' systems and processes for traceability of ore and demonstration of conflict-free sourcing. The RMAP uses an independent third-party assessment of smelter management systems and sourcing practices to validate conformance with RMAP standards. The RMAP standards are developed to meet the requirements of the OECD Due Diligence Guidance. Information on the RMAP process can be found at: http://www.responsiblemineralsinitiative.org/responsible-minerals-assurance-process/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645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20" w:firstLine="8"/>
        <w:spacing w:after="0" w:line="235" w:lineRule="auto"/>
        <w:tabs>
          <w:tab w:leader="none" w:pos="103"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Quaker Houghton’s products may include organotin compounds. It is our understanding that organotin compounds are not considered metals or alloy derivatives within the scope of Rule 13p-1 under the Securities Exchange Act (17 C.F.R. § 240.13p-1.). Therefore, we have not reported smelters of organotins.</w:t>
      </w:r>
    </w:p>
    <w:p>
      <w:pPr>
        <w:sectPr>
          <w:pgSz w:w="11900" w:h="16838" w:orient="portrait"/>
          <w:cols w:equalWidth="0" w:num="1">
            <w:col w:w="11220"/>
          </w:cols>
          <w:pgMar w:left="320" w:top="1440" w:right="359" w:bottom="1440" w:gutter="0" w:footer="0" w:header="0"/>
        </w:sectPr>
      </w:pPr>
    </w:p>
    <w:bookmarkStart w:id="5" w:name="page6"/>
    <w:bookmarkEnd w:id="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list of conformant smelters is published and maintained on RMI’s website: RMI Active and Conformant Facilities List.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Smelters</w:t>
      </w:r>
    </w:p>
    <w:p>
      <w:pPr>
        <w:spacing w:after="0" w:line="13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color w:val="auto"/>
        </w:rPr>
        <w:t>Based on the CMRTs provided to Quaker Houghton, the following smelters were identified as a source of 3TG to Quaker Houghton’s suppliers. As noted above, since some of the CMRTs provided reported on all smelters used by the supplier rather than the smelters used for a particular product, the list below may include smelters that do not source 3TG incorporated into Quaker Houghton products. The smelter ID number for three tin smelters was not provided by the supplier. As a result, we are unable to determine if these smelters are compliant. As indicated below, all of the smelters identified on CMRTs provided to the Company by its suppliers of 3TG were conformant.</w:t>
      </w:r>
    </w:p>
    <w:p>
      <w:pPr>
        <w:spacing w:after="0" w:line="200" w:lineRule="exact"/>
        <w:rPr>
          <w:sz w:val="20"/>
          <w:szCs w:val="20"/>
          <w:color w:val="auto"/>
        </w:rPr>
      </w:pP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Ogussa Osterreichische Gold- und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Silber-Scheideanstalt GmbH</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WIELAND Edelmetalle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Zhongyuan Gold Smelter of Zhongjin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CID002224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Gold Corporation</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Western Australian Mint (T/a The Perth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CID002030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AUSTRALIA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Mint)</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United Precious Metal Refining,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Umicore S.A. Business Unit Precious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CID001980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BELGIUM</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Metals Refining</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Tokuriki Honten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CID001938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Tanaka Kikinzoku Kogyo K.K.</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CID001875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Sumitomo Metal Mining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CID001798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Solar Applied Materials Technology</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CID001761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7"/>
              </w:rPr>
              <w:t>TAIWAN, PROVINCE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Royal Canadian Mint</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CID001534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CANADA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63" w:lineRule="exact"/>
        <w:rPr>
          <w:sz w:val="20"/>
          <w:szCs w:val="20"/>
          <w:color w:val="auto"/>
        </w:rPr>
      </w:pPr>
    </w:p>
    <w:p>
      <w:pPr>
        <w:ind w:right="760" w:firstLine="8"/>
        <w:spacing w:after="0" w:line="229" w:lineRule="auto"/>
        <w:tabs>
          <w:tab w:leader="none" w:pos="115" w:val="left"/>
        </w:tabs>
        <w:numPr>
          <w:ilvl w:val="0"/>
          <w:numId w:val="3"/>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1440" w:gutter="0" w:footer="0" w:header="0"/>
        </w:sectPr>
      </w:pPr>
    </w:p>
    <w:bookmarkStart w:id="6" w:name="page7"/>
    <w:bookmarkEnd w:id="6"/>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Rand Refinery (Pty)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CID001512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SOUTH AFRICA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MKS PAMP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CID001352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Nihon Material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CID001259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Mitsui Mining and Smelting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CID001193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Mitsubishi Materials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CID001188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Metalurgica Met-Mex Penoles S.A. De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CID001161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MEXICO</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C.V.</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USA Refining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(Singapore) Pte.,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CID001152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9"/>
              </w:rPr>
              <w:t>Metalor Technologies (Hong Kong)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Metalor Technologies (Suzhou)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Matsuda Sangyo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CID001119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Materion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LS MnM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CID001078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KOREA, REPUBLIC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Kojima Chemicals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CID000981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Kennecott Utah Copper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CID000969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JX Nippon Mining &amp; Metals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CID000937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Refining Canada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CANADA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Refining USA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CID000920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Istanbul Gold Refinery</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CID000814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TURKEY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Ishifuku Metal Industry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CID000807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Heraeus Germany GmbH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CID000711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Heraeus Metals Hong Kong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CID000707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Heimerle + Meule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CID000694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63" w:lineRule="exact"/>
        <w:rPr>
          <w:sz w:val="20"/>
          <w:szCs w:val="20"/>
          <w:color w:val="auto"/>
        </w:rPr>
      </w:pPr>
    </w:p>
    <w:p>
      <w:pPr>
        <w:sectPr>
          <w:pgSz w:w="11900" w:h="16838" w:orient="portrait"/>
          <w:cols w:equalWidth="0" w:num="1">
            <w:col w:w="11260"/>
          </w:cols>
          <w:pgMar w:left="320" w:top="1440" w:right="319" w:bottom="0" w:gutter="0" w:footer="0" w:header="0"/>
        </w:sectPr>
      </w:pPr>
    </w:p>
    <w:p>
      <w:pPr>
        <w:ind w:right="760" w:firstLine="8"/>
        <w:spacing w:after="0" w:line="229" w:lineRule="auto"/>
        <w:tabs>
          <w:tab w:leader="none" w:pos="115" w:val="left"/>
        </w:tabs>
        <w:numPr>
          <w:ilvl w:val="0"/>
          <w:numId w:val="4"/>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0" w:gutter="0" w:footer="0" w:header="0"/>
          <w:type w:val="continuous"/>
        </w:sectPr>
      </w:pPr>
    </w:p>
    <w:bookmarkStart w:id="7" w:name="page8"/>
    <w:bookmarkEnd w:id="7"/>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Eco-System Recycling Co., Ltd. East</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Plant</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Dowa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CID000401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Chimet S.p.A.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CID000233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ITALY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 Hafner GmbH +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CID000176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Boliden Ronnskar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CID000157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SWEDEN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Asaka Riken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CID000090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ASAHI METALFINE,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Argor-Heraeus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CID000077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SWITZERLAND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AngloGold Ashanti Corrego do Sitio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Mineracao</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Agosi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CID000035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Gold</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Aida Chemical Industries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CID000019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Malaysia Smelting Corporation Berhad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CID004434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MALAYSIA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(Port Klang)</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Mining Minerals Resources SARL</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CID004065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CONGO, DEMOCRATIC</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REPUBLIC OF THE</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Putera Sarana Shakti (PT PSS)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CID003868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Fabrica Auricchio Industria e Comercio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CID003582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Ltda.</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CRM Synergies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CID003524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SPAIN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Mitra Sukses Globalindo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CID003449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Luna Smelter,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CID003387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RWANDA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Tin Technology &amp; Refining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CID003325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Guangdong Hanhe Non-Ferrous Metal</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CID003116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Bangka Prima Tin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Berango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SPAIN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Aurubis Beerse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CID002773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BELGIUM</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Cipta Persada Mulia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CID002696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ATD Makmur Mandiri Jaya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CID002503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76" w:lineRule="exact"/>
        <w:rPr>
          <w:sz w:val="20"/>
          <w:szCs w:val="20"/>
          <w:color w:val="auto"/>
        </w:rPr>
      </w:pPr>
    </w:p>
    <w:p>
      <w:pPr>
        <w:sectPr>
          <w:pgSz w:w="11900" w:h="16838" w:orient="portrait"/>
          <w:cols w:equalWidth="0" w:num="1">
            <w:col w:w="11260"/>
          </w:cols>
          <w:pgMar w:left="320" w:top="146" w:right="319" w:bottom="0" w:gutter="0" w:footer="0" w:header="0"/>
        </w:sectPr>
      </w:pPr>
    </w:p>
    <w:p>
      <w:pPr>
        <w:ind w:right="760" w:firstLine="8"/>
        <w:spacing w:after="0" w:line="229" w:lineRule="auto"/>
        <w:tabs>
          <w:tab w:leader="none" w:pos="115" w:val="left"/>
        </w:tabs>
        <w:numPr>
          <w:ilvl w:val="0"/>
          <w:numId w:val="5"/>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6" w:right="319" w:bottom="0" w:gutter="0" w:footer="0" w:header="0"/>
          <w:type w:val="continuous"/>
        </w:sectPr>
      </w:pPr>
    </w:p>
    <w:bookmarkStart w:id="10" w:name="page11"/>
    <w:bookmarkEnd w:id="10"/>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Magnu's Minerais Metais e Ligas Ltda.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CID002468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8"/>
              </w:rPr>
              <w:t>Tin Smelting Branch of Yunnan Tin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CID002180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Yunnan Chengfeng Non-ferrous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CID002158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White Solder Metalurgia e Mineracao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CID002036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Ltda.</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Thaisarco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CID001898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THAILAND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Rui Da Hung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CID001539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w w:val="97"/>
              </w:rPr>
              <w:t>TAIWAN, PROVINCE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Timah Tbk Mentok</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Timah Tbk Kundur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CID001477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Prima Timah Utama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Mitra Stania Prima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CID001453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Operaciones Metalurgicas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CID001337</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BOLIVIA</w:t>
            </w: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(PLURINATIONAL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STATE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O.M. Manufacturing (Thailand)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CID001314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THAILAND</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New Nanshan Technology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CID001231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Mitsubishi Materials Corporation</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CID001191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Minsur</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PERU</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Mineracao Taboca S.A.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CID001173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BRAZIL</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Metallic Resources,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CID001142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China Tin Group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CID001070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Gejiu Non-Ferrous Metal Processing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CID000538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Fenix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POLAND</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EM Vinto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CID000438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BOLIVIA</w:t>
            </w: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26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(PLURINATIONAL</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STATE OF)</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Dowa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CID000402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Premium Tin Indonesia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CID000313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Alpha Assembly Solutions Inc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CID000292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64"/>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r>
    </w:tbl>
    <w:p>
      <w:pPr>
        <w:spacing w:after="0" w:line="76" w:lineRule="exact"/>
        <w:rPr>
          <w:sz w:val="20"/>
          <w:szCs w:val="20"/>
          <w:color w:val="auto"/>
        </w:rPr>
      </w:pPr>
    </w:p>
    <w:p>
      <w:pPr>
        <w:sectPr>
          <w:pgSz w:w="11900" w:h="16877" w:orient="portrait"/>
          <w:cols w:equalWidth="0" w:num="1">
            <w:col w:w="11260"/>
          </w:cols>
          <w:pgMar w:left="320" w:top="147" w:right="319" w:bottom="0" w:gutter="0" w:footer="0" w:header="0"/>
        </w:sectPr>
      </w:pPr>
    </w:p>
    <w:p>
      <w:pPr>
        <w:ind w:right="760" w:firstLine="8"/>
        <w:spacing w:after="0" w:line="229" w:lineRule="auto"/>
        <w:tabs>
          <w:tab w:leader="none" w:pos="115" w:val="left"/>
        </w:tabs>
        <w:numPr>
          <w:ilvl w:val="0"/>
          <w:numId w:val="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77" w:orient="portrait"/>
          <w:cols w:equalWidth="0" w:num="1">
            <w:col w:w="11260"/>
          </w:cols>
          <w:pgMar w:left="320" w:top="147" w:right="319" w:bottom="0" w:gutter="0" w:footer="0" w:header="0"/>
          <w:type w:val="continuous"/>
        </w:sectPr>
      </w:pPr>
    </w:p>
    <w:bookmarkStart w:id="13" w:name="page14"/>
    <w:bookmarkEnd w:id="13"/>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c>
          <w:tcPr>
            <w:tcW w:w="0" w:type="dxa"/>
            <w:vAlign w:val="bottom"/>
          </w:tcPr>
          <w:p>
            <w:pPr>
              <w:spacing w:after="0"/>
              <w:rPr>
                <w:sz w:val="1"/>
                <w:szCs w:val="1"/>
                <w:color w:val="auto"/>
              </w:rPr>
            </w:pP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Chenzhou Yunxiang Mining and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CID000228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Metallurgy 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CV Ayi Jaya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Aries Kencana Sejahtera</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Tin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PT Artha Cipta Langgeng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Smelter ID not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Unknown</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INDONESIA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listed</w:t>
            </w:r>
          </w:p>
        </w:tc>
        <w:tc>
          <w:tcPr>
            <w:tcW w:w="1840" w:type="dxa"/>
            <w:vAlign w:val="bottom"/>
            <w:tcBorders>
              <w:right w:val="single" w:sz="8" w:color="auto"/>
            </w:tcBorders>
            <w:vMerge w:val="continue"/>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China Molybdenum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CID002641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Niagara Refining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CID002589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Jiangwu H.C. Starck Tungsten Products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CID002551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Masan High-Tech Materials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VIET NAM</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TANIOBIS Smelting GmbH &amp; Co. KG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H.C. Starck Tungsten GmbH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CID002541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Hunan Shizhuyuan Nonferrous Metals</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CID002513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70"/>
        </w:trPr>
        <w:tc>
          <w:tcPr>
            <w:tcW w:w="1540" w:type="dxa"/>
            <w:vAlign w:val="bottom"/>
            <w:tcBorders>
              <w:left w:val="single" w:sz="8" w:color="auto"/>
              <w:right w:val="single" w:sz="8" w:color="auto"/>
            </w:tcBorders>
          </w:tcPr>
          <w:p>
            <w:pPr>
              <w:spacing w:after="0"/>
              <w:rPr>
                <w:sz w:val="23"/>
                <w:szCs w:val="23"/>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 Ltd. Chenzhou Tungsten Products</w:t>
            </w:r>
          </w:p>
        </w:tc>
        <w:tc>
          <w:tcPr>
            <w:tcW w:w="17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2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Branch</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Ganzhou Seadragon W &amp; Mo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CID002494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Gan Bei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CID002321</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Xiamen Tungsten (H.C.)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CID002320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Jiangxi Yaosheng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CID002316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Ganzhou Jiangwu Ferrotungsten Co.,</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CID002315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Xiamen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CID002082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Wolfram Bergbau und Hutten AG</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CID002044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AUSTRIA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Japan New Metals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CID000825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Global Tungsten &amp; Powders LLC</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CID000568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c>
          <w:tcPr>
            <w:tcW w:w="0" w:type="dxa"/>
            <w:vAlign w:val="bottom"/>
          </w:tcPr>
          <w:p>
            <w:pPr>
              <w:spacing w:after="0"/>
              <w:rPr>
                <w:sz w:val="1"/>
                <w:szCs w:val="1"/>
                <w:color w:val="auto"/>
              </w:rPr>
            </w:pP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Chongyi Zhangyuan Tungsten Co., Ltd.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CID000258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60"/>
          </w:cols>
          <w:pgMar w:left="320" w:top="1440" w:right="319" w:bottom="164" w:gutter="0" w:footer="0" w:header="0"/>
        </w:sectPr>
      </w:pPr>
    </w:p>
    <w:p>
      <w:pPr>
        <w:ind w:right="760" w:firstLine="8"/>
        <w:spacing w:after="0" w:line="229" w:lineRule="auto"/>
        <w:tabs>
          <w:tab w:leader="none" w:pos="115" w:val="left"/>
        </w:tabs>
        <w:numPr>
          <w:ilvl w:val="0"/>
          <w:numId w:val="7"/>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p>
      <w:pPr>
        <w:sectPr>
          <w:pgSz w:w="11900" w:h="16838" w:orient="portrait"/>
          <w:cols w:equalWidth="0" w:num="1">
            <w:col w:w="11260"/>
          </w:cols>
          <w:pgMar w:left="320" w:top="1440" w:right="319" w:bottom="164" w:gutter="0" w:footer="0" w:header="0"/>
          <w:type w:val="continuous"/>
        </w:sectPr>
      </w:pPr>
    </w:p>
    <w:bookmarkStart w:id="15" w:name="page16"/>
    <w:bookmarkEnd w:id="15"/>
    <w:p>
      <w:pPr>
        <w:spacing w:after="0" w:line="229" w:lineRule="auto"/>
        <w:tabs>
          <w:tab w:leader="none" w:pos="115"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368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Official Smelter Name</w:t>
            </w:r>
          </w:p>
        </w:tc>
        <w:tc>
          <w:tcPr>
            <w:tcW w:w="17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Conformant</w:t>
            </w:r>
          </w:p>
        </w:tc>
        <w:tc>
          <w:tcPr>
            <w:tcW w:w="24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Smelter Location</w:t>
            </w:r>
          </w:p>
        </w:tc>
      </w:tr>
      <w:tr>
        <w:trPr>
          <w:trHeight w:val="373"/>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Smelter</w:t>
            </w:r>
            <w:r>
              <w:rPr>
                <w:rFonts w:ascii="Times New Roman" w:cs="Times New Roman" w:eastAsia="Times New Roman" w:hAnsi="Times New Roman"/>
                <w:sz w:val="28"/>
                <w:szCs w:val="28"/>
                <w:b w:val="1"/>
                <w:bCs w:val="1"/>
                <w:color w:val="auto"/>
                <w:w w:val="96"/>
                <w:vertAlign w:val="superscript"/>
              </w:rPr>
              <w:t>2</w:t>
            </w:r>
          </w:p>
        </w:tc>
        <w:tc>
          <w:tcPr>
            <w:tcW w:w="2480" w:type="dxa"/>
            <w:vAlign w:val="bottom"/>
            <w:tcBorders>
              <w:right w:val="single" w:sz="8" w:color="auto"/>
            </w:tcBorders>
          </w:tcPr>
          <w:p>
            <w:pPr>
              <w:spacing w:after="0"/>
              <w:rPr>
                <w:sz w:val="24"/>
                <w:szCs w:val="24"/>
                <w:color w:val="auto"/>
              </w:rPr>
            </w:pPr>
          </w:p>
        </w:tc>
      </w:tr>
      <w:tr>
        <w:trPr>
          <w:trHeight w:val="121"/>
        </w:trPr>
        <w:tc>
          <w:tcPr>
            <w:tcW w:w="1540" w:type="dxa"/>
            <w:vAlign w:val="bottom"/>
            <w:tcBorders>
              <w:left w:val="single" w:sz="8" w:color="auto"/>
              <w:bottom w:val="single" w:sz="8" w:color="auto"/>
              <w:right w:val="single" w:sz="8" w:color="auto"/>
            </w:tcBorders>
          </w:tcPr>
          <w:p>
            <w:pPr>
              <w:spacing w:after="0"/>
              <w:rPr>
                <w:sz w:val="10"/>
                <w:szCs w:val="10"/>
                <w:color w:val="auto"/>
              </w:rPr>
            </w:pPr>
          </w:p>
        </w:tc>
        <w:tc>
          <w:tcPr>
            <w:tcW w:w="368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r>
      <w:tr>
        <w:trPr>
          <w:trHeight w:val="277"/>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Kennametal Huntsville</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CID000105</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UNITED STATES OF</w:t>
            </w:r>
          </w:p>
        </w:tc>
      </w:tr>
      <w:tr>
        <w:trPr>
          <w:trHeight w:val="282"/>
        </w:trPr>
        <w:tc>
          <w:tcPr>
            <w:tcW w:w="1540" w:type="dxa"/>
            <w:vAlign w:val="bottom"/>
            <w:tcBorders>
              <w:left w:val="single" w:sz="8" w:color="auto"/>
              <w:right w:val="single" w:sz="8" w:color="auto"/>
            </w:tcBorders>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AMERICA</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r>
        <w:trPr>
          <w:trHeight w:val="289"/>
        </w:trPr>
        <w:tc>
          <w:tcPr>
            <w:tcW w:w="15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Tungsten</w:t>
            </w:r>
          </w:p>
        </w:tc>
        <w:tc>
          <w:tcPr>
            <w:tcW w:w="3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A.L.M.T. Corp.</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CID000004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Yes</w:t>
            </w: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JAPAN</w:t>
            </w:r>
          </w:p>
        </w:tc>
      </w:tr>
      <w:tr>
        <w:trPr>
          <w:trHeight w:val="177"/>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Steps to Improve Due Diligence</w:t>
      </w:r>
    </w:p>
    <w:p>
      <w:pPr>
        <w:spacing w:after="0" w:line="15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Quaker Houghton will continue to conduct supplier diligence regarding 3TG and will monitor its products and components to identify new products or components that may include any 3TG. Quaker Houghton will continue to monitor its supply chains to identify any new suppliers and to bring such suppliers within the scope of its conflict minerals programs. Quaker Houghton will maintain open lines of communication with its suppliers, so they are notified promptly if there are any changes in the source of the 3TG supplied to Quaker Houghton.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This Conflict Minerals Report includes “forward-looking statements” within the meaning of Section 21E of the Securities Exchange Act of 1934, as amended, and Section 27A of the Securities Act of 1933, as amended, and such forward-looking statements involve risks and uncertainties. These forward-looking statements include, but are not limited to, statements relating to the Company’s intention to enhance its efforts to obtain from its suppliers complete, correct, and trustworthy information regarding the sources of the conflict minerals used in the Company’s products. These statements are subject to various risks, uncertainties and other factors, including, among other matters, the Company’s suppliers’ responsiveness and cooperation with the Company’s due diligence efforts, the Company’s ability to identify and mitigate risks in its supply chain, whether smelters and refiners and other market participants responsibly source conflict minerals, political and regulatory developments in the Covered Countries, the United States or elsewhere, and whether industry organizations and initiatives remain effective as a source of external guidance and support to us in the conflict minerals compliance process. Forward-looking statements are based on management’s current views, beliefs and expectations of future events based on certain assumptions. Forward-looking statements are not guarantees of future performance. We assume no obligation to revise or update any forward-looking statements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64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760" w:firstLine="8"/>
        <w:spacing w:after="0" w:line="229" w:lineRule="auto"/>
        <w:tabs>
          <w:tab w:leader="none" w:pos="115" w:val="left"/>
        </w:tabs>
        <w:numPr>
          <w:ilvl w:val="0"/>
          <w:numId w:val="8"/>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Conformant refers to facilities that are listed by RMI as of May 2026 as conformant with RMAP protocols or certified or accredited by a similar independent assessment program cross-recognized by RMAP as confirmed by GreenSoft.</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2026-05-28T13:38:47Z</dcterms:created>
  <dcterms:modified xsi:type="dcterms:W3CDTF">2026-05-28T13:38:47Z</dcterms:modified>
</cp:coreProperties>
</file>