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150.xml.htm"/>
      <w:bookmarkStart w:id="1" w:name="kswkform4_1792441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Christine Procopio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901 E. HECTOR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CONSHOHOCKEN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19428-2380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QUAKER CHEMICAL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KWR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Special time-based restricted stock units granted under the Company's Long-Term Performance Incentive Plan, which will vest in three annual installments beginning on March 15, 2027. Each RSU represents a contingent right to receive one share of KWR common stock and DERs accrue with respect to these RSUs when and as dividends are paid on KWR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Victoria K. Gehris, Attorney-in-Fact for Christine Procopio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7537" TargetMode="External"/><Relationship Id="rId5" Type="http://schemas.openxmlformats.org/officeDocument/2006/relationships/hyperlink" Target="http://www.sec.gov/cgi-bin/browse-edgar?action=getcompany&amp;CIK=00000813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3433</Characters>
  <CharactersWithSpaces>3992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