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0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 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July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001-12019</w:t>
      </w:r>
    </w:p>
    <w:tbl>
      <w:tblPr>
        <w:tblW w:w="4153" w:type="dxa"/>
        <w:jc w:val="center"/>
        <w:tblInd w:w="0" w:type="dxa"/>
        <w:tblLayout w:type="fixed"/>
        <w:tblCellMar>
          <w:top w:w="28" w:type="dxa"/>
          <w:left w:w="28" w:type="dxa"/>
          <w:bottom w:w="28" w:type="dxa"/>
          <w:right w:w="28" w:type="dxa"/>
        </w:tblCellMar>
      </w:tblPr>
      <w:tblGrid>
        <w:gridCol w:w="908"/>
        <w:gridCol w:w="796"/>
        <w:gridCol w:w="800"/>
        <w:gridCol w:w="481"/>
        <w:gridCol w:w="481"/>
        <w:gridCol w:w="687"/>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23-0993790</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901 E. Hector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Conshohocken, Pennsylvania 19428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(610) 832-4000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2" w:type="dxa"/>
        <w:jc w:val="center"/>
        <w:tblInd w:w="0" w:type="dxa"/>
        <w:tblLayout w:type="fixed"/>
        <w:tblCellMar>
          <w:top w:w="28" w:type="dxa"/>
          <w:left w:w="28" w:type="dxa"/>
          <w:bottom w:w="28" w:type="dxa"/>
          <w:right w:w="28" w:type="dxa"/>
        </w:tblCellMar>
      </w:tblPr>
      <w:tblGrid>
        <w:gridCol w:w="896"/>
        <w:gridCol w:w="784"/>
        <w:gridCol w:w="794"/>
        <w:gridCol w:w="109"/>
        <w:gridCol w:w="109"/>
        <w:gridCol w:w="109"/>
        <w:gridCol w:w="539"/>
        <w:gridCol w:w="539"/>
        <w:gridCol w:w="541"/>
        <w:gridCol w:w="109"/>
        <w:gridCol w:w="109"/>
        <w:gridCol w:w="109"/>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INFORMATION TO BE INCLUDED IN THE REPORT</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30, 2026, Quaker Chemical Corporation announced its results of operations for the second quarter ended June 30, 2026 in a press release, the text of which is included as Exhibit 99.1 hereto. Supplemental information related to the same period is also included as Exhibit 99.2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included as part of this report:</w:t>
      </w:r>
    </w:p>
    <w:tbl>
      <w:tblPr>
        <w:tblW w:w="946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362"/>
        <w:gridCol w:w="2362"/>
        <w:gridCol w:w="3345"/>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kwr2026q2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kwr2026q2ex-991.htm">
              <w:r>
                <w:rPr>
                  <w:rStyle w:val="InternetLink"/>
                  <w:rFonts w:ascii="Times New Roman;serif" w:hAnsi="Times New Roman;serif"/>
                  <w:b w:val="false"/>
                  <w:color w:val="000080"/>
                  <w:sz w:val="20"/>
                  <w:u w:val="single"/>
                </w:rPr>
                <w:t xml:space="preserve">Press Release of Quaker Chemical Corporation dated </w:t>
              </w:r>
            </w:hyperlink>
            <w:hyperlink w:anchor="kwr2026q2ex-991.htm">
              <w:r>
                <w:rPr>
                  <w:rStyle w:val="InternetLink"/>
                  <w:rFonts w:ascii="Times New Roman;serif" w:hAnsi="Times New Roman;serif"/>
                  <w:b w:val="false"/>
                  <w:color w:val="000080"/>
                  <w:sz w:val="20"/>
                  <w:u w:val="single"/>
                </w:rPr>
                <w:t>July</w:t>
              </w:r>
            </w:hyperlink>
            <w:hyperlink w:anchor="kwr2026q2ex-991.htm">
              <w:r>
                <w:rPr>
                  <w:rStyle w:val="InternetLink"/>
                  <w:rFonts w:ascii="Times New Roman;serif" w:hAnsi="Times New Roman;serif"/>
                  <w:b w:val="false"/>
                  <w:color w:val="000080"/>
                  <w:sz w:val="20"/>
                  <w:u w:val="single"/>
                </w:rPr>
                <w:t xml:space="preserve"> 30, 2026 (furnished herewith).</w:t>
              </w:r>
            </w:hyperlink>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kwr2026q2ex-9922.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kwr2026q2ex-9922.htm">
              <w:r>
                <w:rPr>
                  <w:rStyle w:val="InternetLink"/>
                  <w:rFonts w:ascii="Times New Roman;serif" w:hAnsi="Times New Roman;serif"/>
                  <w:b w:val="false"/>
                  <w:color w:val="000080"/>
                  <w:sz w:val="20"/>
                  <w:u w:val="single"/>
                </w:rPr>
                <w:t xml:space="preserve">Supplemental Information related to the </w:t>
              </w:r>
            </w:hyperlink>
            <w:hyperlink w:anchor="kwr2026q2ex-9922.htm">
              <w:r>
                <w:rPr>
                  <w:rStyle w:val="InternetLink"/>
                  <w:rFonts w:ascii="Times New Roman;serif" w:hAnsi="Times New Roman;serif"/>
                  <w:b w:val="false"/>
                  <w:color w:val="000080"/>
                  <w:sz w:val="20"/>
                  <w:u w:val="single"/>
                </w:rPr>
                <w:t>second</w:t>
              </w:r>
            </w:hyperlink>
            <w:hyperlink w:anchor="kwr2026q2ex-9922.htm">
              <w:r>
                <w:rPr>
                  <w:rStyle w:val="InternetLink"/>
                  <w:rFonts w:ascii="Times New Roman;serif" w:hAnsi="Times New Roman;serif"/>
                  <w:b w:val="false"/>
                  <w:color w:val="000080"/>
                  <w:sz w:val="20"/>
                  <w:u w:val="single"/>
                </w:rPr>
                <w:t xml:space="preserve"> quarter ended </w:t>
              </w:r>
            </w:hyperlink>
            <w:hyperlink w:anchor="kwr2026q2ex-9922.htm">
              <w:r>
                <w:rPr>
                  <w:rStyle w:val="InternetLink"/>
                  <w:rFonts w:ascii="Times New Roman;serif" w:hAnsi="Times New Roman;serif"/>
                  <w:b w:val="false"/>
                  <w:color w:val="000080"/>
                  <w:sz w:val="20"/>
                  <w:u w:val="single"/>
                </w:rPr>
                <w:t>June</w:t>
              </w:r>
            </w:hyperlink>
            <w:hyperlink w:anchor="kwr2026q2ex-9922.htm">
              <w:r>
                <w:rPr>
                  <w:rStyle w:val="InternetLink"/>
                  <w:rFonts w:ascii="Times New Roman;serif" w:hAnsi="Times New Roman;serif"/>
                  <w:b w:val="false"/>
                  <w:color w:val="000080"/>
                  <w:sz w:val="20"/>
                  <w:u w:val="single"/>
                </w:rPr>
                <w:t xml:space="preserve"> 30, 2026 (furnished herewith).</w:t>
              </w:r>
            </w:hyperlink>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445" w:type="dxa"/>
        <w:jc w:val="left"/>
        <w:tblInd w:w="0" w:type="dxa"/>
        <w:tblLayout w:type="fixed"/>
        <w:tblCellMar>
          <w:top w:w="28" w:type="dxa"/>
          <w:left w:w="28" w:type="dxa"/>
          <w:bottom w:w="28" w:type="dxa"/>
          <w:right w:w="28" w:type="dxa"/>
        </w:tblCellMar>
      </w:tblPr>
      <w:tblGrid>
        <w:gridCol w:w="618"/>
        <w:gridCol w:w="544"/>
        <w:gridCol w:w="547"/>
        <w:gridCol w:w="532"/>
        <w:gridCol w:w="532"/>
        <w:gridCol w:w="532"/>
        <w:gridCol w:w="1209"/>
        <w:gridCol w:w="1209"/>
        <w:gridCol w:w="172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CORPORATION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Coler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Coler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12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8472" w:type="dxa"/>
        <w:jc w:val="left"/>
        <w:tblInd w:w="0" w:type="dxa"/>
        <w:tblLayout w:type="fixed"/>
        <w:tblCellMar>
          <w:top w:w="28" w:type="dxa"/>
          <w:left w:w="28" w:type="dxa"/>
          <w:bottom w:w="28" w:type="dxa"/>
          <w:right w:w="28" w:type="dxa"/>
        </w:tblCellMar>
      </w:tblPr>
      <w:tblGrid>
        <w:gridCol w:w="979"/>
        <w:gridCol w:w="860"/>
        <w:gridCol w:w="862"/>
        <w:gridCol w:w="899"/>
        <w:gridCol w:w="899"/>
        <w:gridCol w:w="899"/>
        <w:gridCol w:w="899"/>
        <w:gridCol w:w="899"/>
        <w:gridCol w:w="1276"/>
      </w:tblGrid>
      <w:tr>
        <w:trPr/>
        <w:tc>
          <w:tcPr>
            <w:tcW w:w="97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NEWS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Contact: John Dalhoff</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Director, Investor Relations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investor@quakerhoughton.com</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 1.610.684.7822</w:t>
            </w:r>
          </w:p>
        </w:tc>
        <w:tc>
          <w:tcPr>
            <w:tcW w:w="5771" w:type="dxa"/>
            <w:gridSpan w:val="6"/>
            <w:vMerge w:val="restart"/>
            <w:tcBorders>
              <w:bottom w:val="single" w:sz="8" w:space="0" w:color="000000"/>
            </w:tcBorders>
            <w:tcMar>
              <w:top w:w="0" w:type="dxa"/>
              <w:left w:w="0" w:type="dxa"/>
              <w:right w:w="0" w:type="dxa"/>
            </w:tcMar>
            <w:vAlign w:val="center"/>
          </w:tcPr>
          <w:p>
            <w:pPr>
              <w:pStyle w:val="TableContents"/>
              <w:bidi w:val="0"/>
              <w:spacing w:before="0" w:after="120"/>
              <w:jc w:val="right"/>
              <w:rPr/>
            </w:pPr>
            <w:r>
              <w:rPr/>
              <w:drawing>
                <wp:inline distT="0" distB="0" distL="0" distR="0">
                  <wp:extent cx="3581400" cy="781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581400" cy="781050"/>
                          </a:xfrm>
                          <a:prstGeom prst="rect">
                            <a:avLst/>
                          </a:prstGeom>
                        </pic:spPr>
                      </pic:pic>
                    </a:graphicData>
                  </a:graphic>
                </wp:inline>
              </w:drawing>
            </w:r>
          </w:p>
        </w:tc>
      </w:tr>
      <w:tr>
        <w:trPr/>
        <w:tc>
          <w:tcPr>
            <w:tcW w:w="27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Release: Immediate</w:t>
            </w:r>
          </w:p>
        </w:tc>
        <w:tc>
          <w:tcPr>
            <w:tcW w:w="5771" w:type="dxa"/>
            <w:gridSpan w:val="6"/>
            <w:vMerge w:val="continue"/>
            <w:tcBorders>
              <w:bottom w:val="single" w:sz="8" w:space="0" w:color="000000"/>
            </w:tcBorders>
            <w:tcMar>
              <w:top w:w="0" w:type="dxa"/>
              <w:left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QUAKER HOUGHTON ANNOUNCES SECOND QUARTER 2026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Q2’26 net sales of </w:t>
      </w:r>
      <w:r>
        <w:rPr>
          <w:rFonts w:ascii="Times New Roman;serif" w:hAnsi="Times New Roman;serif"/>
          <w:b w:val="false"/>
          <w:color w:val="000000"/>
          <w:sz w:val="20"/>
          <w:shd w:fill="FFFFFF" w:val="clear"/>
        </w:rPr>
        <w:t>$532.6 million</w:t>
      </w:r>
      <w:r>
        <w:rPr>
          <w:rFonts w:ascii="Times New Roman;serif" w:hAnsi="Times New Roman;serif"/>
          <w:b w:val="false"/>
          <w:color w:val="000000"/>
          <w:sz w:val="20"/>
        </w:rPr>
        <w:t xml:space="preserve">, an increase of 10% Y/Y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Q2’26 net income of </w:t>
      </w:r>
      <w:r>
        <w:rPr>
          <w:rFonts w:ascii="Times New Roman;serif" w:hAnsi="Times New Roman;serif"/>
          <w:b w:val="false"/>
          <w:color w:val="000000"/>
          <w:sz w:val="20"/>
          <w:shd w:fill="FFFFFF" w:val="clear"/>
        </w:rPr>
        <w:t>$26.8 million</w:t>
      </w:r>
      <w:r>
        <w:rPr>
          <w:color w:val="000000"/>
        </w:rPr>
        <w:t xml:space="preserve"> </w:t>
      </w:r>
      <w:r>
        <w:rPr>
          <w:rFonts w:ascii="Times New Roman;serif" w:hAnsi="Times New Roman;serif"/>
          <w:b w:val="false"/>
          <w:color w:val="000000"/>
          <w:sz w:val="20"/>
        </w:rPr>
        <w:t>and earnings per diluted share of $1.55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Sales volumes increased 7% Y/Y primarily driven by new business wins across all segments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Q2’26 non-GAAP net income of </w:t>
      </w:r>
      <w:r>
        <w:rPr>
          <w:rFonts w:ascii="Times New Roman;serif" w:hAnsi="Times New Roman;serif"/>
          <w:b w:val="false"/>
          <w:color w:val="000000"/>
          <w:sz w:val="20"/>
          <w:shd w:fill="FFFFFF" w:val="clear"/>
        </w:rPr>
        <w:t xml:space="preserve">$37.9 million </w:t>
      </w:r>
      <w:r>
        <w:rPr>
          <w:rFonts w:ascii="Times New Roman;serif" w:hAnsi="Times New Roman;serif"/>
          <w:b w:val="false"/>
          <w:color w:val="000000"/>
          <w:sz w:val="20"/>
        </w:rPr>
        <w:t>and non-GAAP earnings per diluted share of $2.19, a 28% increase Y/Y</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rPr>
        <w:t xml:space="preserve">Delivered Q2’26 adjusted EBITDA of </w:t>
      </w:r>
      <w:r>
        <w:rPr>
          <w:rFonts w:ascii="Times New Roman;serif" w:hAnsi="Times New Roman;serif"/>
          <w:b w:val="false"/>
          <w:color w:val="000000"/>
          <w:sz w:val="20"/>
          <w:shd w:fill="FFFFFF" w:val="clear"/>
        </w:rPr>
        <w:t>$85.2 million</w:t>
      </w:r>
      <w:r>
        <w:rPr>
          <w:rFonts w:ascii="Times New Roman;serif" w:hAnsi="Times New Roman;serif"/>
          <w:b w:val="false"/>
          <w:color w:val="000000"/>
          <w:sz w:val="20"/>
        </w:rPr>
        <w:t xml:space="preserve">, a 13% increase Y/Y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Increased quarterly dividend by approximately 4.3% and repurchased $24.2 million of shares in Q2’26; announced new $250 million stock repurchase program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July 30, 2026</w:t>
      </w:r>
    </w:p>
    <w:p>
      <w:pPr>
        <w:pStyle w:val="TextBody"/>
        <w:bidi w:val="0"/>
        <w:spacing w:lineRule="auto" w:line="288" w:before="0" w:after="120"/>
        <w:jc w:val="both"/>
        <w:rPr/>
      </w:pPr>
      <w:r>
        <w:rPr>
          <w:rFonts w:ascii="Times New Roman;serif" w:hAnsi="Times New Roman;serif"/>
          <w:b/>
          <w:color w:val="000000"/>
          <w:sz w:val="20"/>
        </w:rPr>
        <w:t>CONSHOHOCKEN, PA</w:t>
      </w:r>
      <w:r>
        <w:rPr>
          <w:color w:val="000000"/>
        </w:rPr>
        <w:t xml:space="preserve"> – </w:t>
      </w:r>
      <w:r>
        <w:rPr>
          <w:rFonts w:ascii="Times New Roman;serif" w:hAnsi="Times New Roman;serif"/>
          <w:b w:val="false"/>
          <w:color w:val="000000"/>
          <w:sz w:val="20"/>
        </w:rPr>
        <w:t xml:space="preserve">Quaker Houghton (“the Company”) (NYSE: KWR), the global leader in industrial process fluids, announced its second quarter 2026 results today. </w:t>
      </w:r>
    </w:p>
    <w:tbl>
      <w:tblPr>
        <w:tblW w:w="10205" w:type="dxa"/>
        <w:jc w:val="center"/>
        <w:tblInd w:w="0" w:type="dxa"/>
        <w:tblLayout w:type="fixed"/>
        <w:tblCellMar>
          <w:top w:w="28" w:type="dxa"/>
          <w:left w:w="28" w:type="dxa"/>
          <w:bottom w:w="28" w:type="dxa"/>
          <w:right w:w="28" w:type="dxa"/>
        </w:tblCellMar>
      </w:tblPr>
      <w:tblGrid>
        <w:gridCol w:w="1651"/>
        <w:gridCol w:w="1391"/>
        <w:gridCol w:w="140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6"/>
      </w:tblGrid>
      <w:tr>
        <w:trPr/>
        <w:tc>
          <w:tcPr>
            <w:tcW w:w="165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43"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532,550 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483,400 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1,013,029 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926,314 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26,835 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(66,580)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(53,658)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 common shareholders – 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Non-GAAP net income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37,903 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58,029 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Non-GAAP earnings per diluted share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Adjusted EBITDA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75,479 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144,527 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both"/>
        <w:rPr>
          <w:rFonts w:ascii="Times New Roman;serif" w:hAnsi="Times New Roman;serif"/>
          <w:b w:val="false"/>
          <w:i/>
          <w:color w:val="000000"/>
          <w:sz w:val="20"/>
        </w:rPr>
      </w:pPr>
      <w:r>
        <w:rPr>
          <w:rFonts w:ascii="Times New Roman;serif" w:hAnsi="Times New Roman;serif"/>
          <w:b w:val="false"/>
          <w:i/>
          <w:color w:val="000000"/>
          <w:sz w:val="20"/>
        </w:rPr>
        <w:t>*Refer to the Non-GAAP Measures and Reconciliations section below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Second Quarter 2026 Consolidated Results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in the second quarter of 2026 were $532.6 million, an increase of 10% compared to $483.4 million in the second quarter of 2025. This increase was primarily driven by an increase in sales volumes of 7%, a favorable impact from foreign currency translation of 2%, and an improvement in selling price and product mix of 1%. The increase in sales volumes compared to the prior year was primarily the result of net new business wins across all segments. </w:t>
      </w:r>
    </w:p>
    <w:p>
      <w:pPr>
        <w:pStyle w:val="TextBody"/>
        <w:bidi w:val="0"/>
        <w:spacing w:lineRule="auto" w:line="288" w:before="0" w:after="120"/>
        <w:jc w:val="both"/>
        <w:rPr/>
      </w:pPr>
      <w:r>
        <w:rPr>
          <w:rFonts w:ascii="Times New Roman;serif" w:hAnsi="Times New Roman;serif"/>
          <w:b w:val="false"/>
          <w:color w:val="000000"/>
          <w:sz w:val="20"/>
        </w:rPr>
        <w:t xml:space="preserve">The Company reported net income in the second quarter of 2026 of $26.8 million, or $1.55 per diluted share, compared to a net loss of </w:t>
      </w:r>
      <w:r>
        <w:rPr>
          <w:rFonts w:ascii="Times New Roman;serif" w:hAnsi="Times New Roman;serif"/>
          <w:b w:val="false"/>
          <w:color w:val="000000"/>
          <w:sz w:val="20"/>
          <w:shd w:fill="FFFFFF" w:val="clear"/>
        </w:rPr>
        <w:t>$66.6 million,</w:t>
      </w:r>
      <w:r>
        <w:rPr>
          <w:color w:val="000000"/>
        </w:rPr>
        <w:t xml:space="preserve"> </w:t>
      </w:r>
      <w:r>
        <w:rPr>
          <w:rFonts w:ascii="Times New Roman;serif" w:hAnsi="Times New Roman;serif"/>
          <w:b w:val="false"/>
          <w:color w:val="000000"/>
          <w:sz w:val="20"/>
        </w:rPr>
        <w:t>o</w:t>
      </w:r>
      <w:r>
        <w:rPr>
          <w:rFonts w:ascii="Times New Roman;serif" w:hAnsi="Times New Roman;serif"/>
          <w:b w:val="false"/>
          <w:color w:val="000000"/>
          <w:sz w:val="20"/>
          <w:shd w:fill="FFFFFF" w:val="clear"/>
        </w:rPr>
        <w:t xml:space="preserve">r </w:t>
      </w:r>
      <w:r>
        <w:rPr>
          <w:rFonts w:ascii="Times New Roman;serif" w:hAnsi="Times New Roman;serif"/>
          <w:b w:val="false"/>
          <w:color w:val="000000"/>
          <w:sz w:val="20"/>
        </w:rPr>
        <w:t xml:space="preserve">$3.78 loss per diluted share, in the second quarter of 2025. Excluding non-recurring and non-core items in each period, the Company’s non-GAAP net income and non-GAAP earnings per diluted share were $37.9 million and $2.19, respectively, in the second quarter of 2026 compared to </w:t>
      </w:r>
      <w:r>
        <w:rPr>
          <w:rFonts w:ascii="Times New Roman;serif" w:hAnsi="Times New Roman;serif"/>
          <w:b w:val="false"/>
          <w:color w:val="000000"/>
          <w:sz w:val="20"/>
          <w:shd w:fill="FFFFFF" w:val="clear"/>
        </w:rPr>
        <w:t>$30.0 million</w:t>
      </w:r>
      <w:r>
        <w:rPr>
          <w:color w:val="000000"/>
        </w:rPr>
        <w:t xml:space="preserve"> </w:t>
      </w:r>
      <w:r>
        <w:rPr>
          <w:rFonts w:ascii="Times New Roman;serif" w:hAnsi="Times New Roman;serif"/>
          <w:b w:val="false"/>
          <w:color w:val="000000"/>
          <w:sz w:val="20"/>
        </w:rPr>
        <w:t xml:space="preserve">and $1.71, respectively, in the second quarter of 2025. The Company generated adjusted EBITDA of $85.2 million in the second quarter of 2026, an increase of approximately 13% compared to $75.5 million in the second quarter of 2025, primarily driven by the increase in net sales, partially offset by higher SG&amp;A expenses. See the Non-GAAP Measures and Reconciliations section below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Joe Berquist, Chief Executive Officer and President, commented, “We achieved our fourth consecutive quarter of year-over-year profitability growth in Q2 2026, resulting in record adjusted EBITDA. Net sales increased 10% against prior year, driven by strong share gains and pricing during a period of significant raw material inflation. Volume growth reflected new business wins across all regions that exceeded the high end of our target range, while underlying markets were flat to slightly positive. Demand has remained steady against the backdrop of the conflict in the Strait of Hormuz, and we have observed selective areas of market growth. We experienced modest pre-buy activity from our customers early in the period in reaction to the conflict, with normal seasonal patterns returning by the end of the quarter. I’m proud of our team’s ability to maintain reliable supply to our customers despite heightened volatility.</w:t>
      </w:r>
    </w:p>
    <w:p>
      <w:pPr>
        <w:pStyle w:val="TextBody"/>
        <w:bidi w:val="0"/>
        <w:jc w:val="both"/>
        <w:rPr/>
      </w:pPr>
      <w:r>
        <w:rPr/>
      </w:r>
    </w:p>
    <w:p>
      <w:pPr>
        <w:pStyle w:val="TextBody"/>
        <w:bidi w:val="0"/>
        <w:spacing w:before="200" w:after="12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Looking ahead, we expect stable demand trends entering the third quarter with flat to slightly positive end markets throughout the remainder of the year. We anticipate gross margin percentage to stabilize in the third quarter in the range of second quarter gross margins as we work through the timing of raw material cost inflation, inventory movements and price recovery actions. Our pricing and cost initiatives have kept us on track to exit the year within our target gross margin range. We anticipate meaningful revenue and adjusted EBITDA growth in 2026 supported by continued share gains, disciplined cost management, and the resilience of our global network.”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Second Quarter 2026 Segment Results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second quarter of 2026 operating performance for each of its three reportable segments: (i) Americas; (ii) EMEA; and (iii) Asia/Pacific, is further described below. </w:t>
      </w:r>
    </w:p>
    <w:tbl>
      <w:tblPr>
        <w:tblW w:w="8729" w:type="dxa"/>
        <w:jc w:val="center"/>
        <w:tblInd w:w="0" w:type="dxa"/>
        <w:tblLayout w:type="fixed"/>
        <w:tblCellMar>
          <w:top w:w="28" w:type="dxa"/>
          <w:left w:w="28" w:type="dxa"/>
          <w:bottom w:w="28" w:type="dxa"/>
          <w:right w:w="28" w:type="dxa"/>
        </w:tblCellMar>
      </w:tblPr>
      <w:tblGrid>
        <w:gridCol w:w="1075"/>
        <w:gridCol w:w="944"/>
        <w:gridCol w:w="95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Net Sales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236,513 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221,062 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450,241 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434,773 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139,923 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300,519 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269,201 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137,601 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122,415 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262,269 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222,340 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532,550 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483,400 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1,013,029 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926,314 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Segment operating earnings *</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57,241 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58,976 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111,188 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117,438 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58,301 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48,388 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28,715 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70,835 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54,645 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Total segment operating earnings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126,540 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112,686 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240,324 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220,471 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both"/>
        <w:rPr>
          <w:rFonts w:ascii="Times New Roman;serif" w:hAnsi="Times New Roman;serif"/>
          <w:b w:val="false"/>
          <w:i/>
          <w:color w:val="000000"/>
          <w:sz w:val="20"/>
        </w:rPr>
      </w:pPr>
      <w:r>
        <w:rPr>
          <w:rFonts w:ascii="Times New Roman;serif" w:hAnsi="Times New Roman;serif"/>
          <w:b w:val="false"/>
          <w:i/>
          <w:color w:val="000000"/>
          <w:sz w:val="20"/>
        </w:rPr>
        <w:t>*Refer to the Segment Measures and Reconciliations section below for additional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sales variances by reportable segment and consolidated operations in the second quarter of 2026 compared to the second quarter of 2025:</w:t>
      </w:r>
    </w:p>
    <w:tbl>
      <w:tblPr>
        <w:tblW w:w="10205" w:type="dxa"/>
        <w:jc w:val="center"/>
        <w:tblInd w:w="0" w:type="dxa"/>
        <w:tblLayout w:type="fixed"/>
        <w:tblCellMar>
          <w:top w:w="28" w:type="dxa"/>
          <w:left w:w="28" w:type="dxa"/>
          <w:bottom w:w="28" w:type="dxa"/>
          <w:right w:w="28" w:type="dxa"/>
        </w:tblCellMar>
      </w:tblPr>
      <w:tblGrid>
        <w:gridCol w:w="439"/>
        <w:gridCol w:w="386"/>
        <w:gridCol w:w="391"/>
        <w:gridCol w:w="281"/>
        <w:gridCol w:w="281"/>
        <w:gridCol w:w="704"/>
        <w:gridCol w:w="109"/>
        <w:gridCol w:w="109"/>
        <w:gridCol w:w="109"/>
        <w:gridCol w:w="531"/>
        <w:gridCol w:w="531"/>
        <w:gridCol w:w="1328"/>
        <w:gridCol w:w="109"/>
        <w:gridCol w:w="109"/>
        <w:gridCol w:w="109"/>
        <w:gridCol w:w="346"/>
        <w:gridCol w:w="346"/>
        <w:gridCol w:w="863"/>
        <w:gridCol w:w="109"/>
        <w:gridCol w:w="109"/>
        <w:gridCol w:w="109"/>
        <w:gridCol w:w="385"/>
        <w:gridCol w:w="385"/>
        <w:gridCol w:w="965"/>
        <w:gridCol w:w="109"/>
        <w:gridCol w:w="109"/>
        <w:gridCol w:w="109"/>
        <w:gridCol w:w="180"/>
        <w:gridCol w:w="181"/>
        <w:gridCol w:w="37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Sales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Selling price &amp; product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Acquisition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63"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965"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63"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965"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63"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965"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in the Asia/Pacific segment increased 12% in the second quarter of 2026 compared to the same period in 2025, as a result of an increase in sales volumes, an increase in selling price and product mix, and a favorable impact of foreign currency translation. Net sales in the EMEA segment increased 13% in the second quarter of 2026 compared to the same period in 2025, due to an increase in sales volumes, an increase in selling price and product mix, and a favorable impact of foreign currency translation. Net sales in the Americas segment in the second quarter of 2026 increased 7% compared to the same period in 2025, due to an increase in sales volumes, an increase in selling price and product mix, and a favorable impact of foreign currency translation.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Underlying end market activity in the second quarter of 2026 was similar to prior year levels, while strong new business wins across all segments led to year-over-year volume growth compared to the prior year quarter. The increase in selling price and product mix in the second quarter of 2026 compared to the same period in 2025 reflects pricing actions taken to offset higher raw material costs, as well as changes in the mix of products and services, and the impact of our index-based customer contracts.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Consolidated net sales increased approximately 11% compared to the first quarter of 2026, driven by an increase in sales volumes and an increase in selling price and product mix across all segments.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Segment operating earnings increased in the EMEA and Asia/Pacific segments in the second quarter of 2026 compared to the prior year period primarily due to the improvement in net sales and an improvement in segment operating margins, partially offset by an increase in SG&amp;A expenses. Segment operating earnings decreased in the Americas segment in the second quarter of 2026 compared to the prior year due to higher raw material costs and SG&amp;A expenses, partially offset by an increase in net sales. Segment operating earnings increased in all three segments in the second quarter of 2026 compared to the first quarter of 2026, primarily driven by an increase in net sales in all three segments and improved operating margins in the EMEA segment, partially offset by a decrease in operating margins in the Asia/Pacific and Americas segments.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2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Cash Flow and Liquidity Highlights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$33.2 million for the six months ended June 30, 2026, compared to net cash provided by operating activities of $38.5 million for the same period in 2025. The Company’s decrease in operating cash flow year-over-year primarily reflects higher net cash outflows from working capital, partially offset by improved operating performance and lower outflows from restructuring activities.</w:t>
      </w:r>
    </w:p>
    <w:p>
      <w:pPr>
        <w:pStyle w:val="TextBody"/>
        <w:bidi w:val="0"/>
        <w:spacing w:lineRule="auto" w:line="288" w:before="0" w:after="120"/>
        <w:jc w:val="left"/>
        <w:rPr/>
      </w:pPr>
      <w:r>
        <w:rPr>
          <w:rFonts w:ascii="Times New Roman;serif" w:hAnsi="Times New Roman;serif"/>
          <w:b w:val="false"/>
          <w:color w:val="000000"/>
          <w:sz w:val="20"/>
        </w:rPr>
        <w:t xml:space="preserve">As of June 30, 2026, the Company’s total gross debt was </w:t>
      </w:r>
      <w:r>
        <w:rPr>
          <w:rFonts w:ascii="Times New Roman;serif" w:hAnsi="Times New Roman;serif"/>
          <w:b w:val="false"/>
          <w:color w:val="000000"/>
          <w:sz w:val="20"/>
          <w:shd w:fill="FFFFFF" w:val="clear"/>
        </w:rPr>
        <w:t>$876.1 million</w:t>
      </w:r>
      <w:r>
        <w:rPr>
          <w:color w:val="000000"/>
        </w:rPr>
        <w:t xml:space="preserve"> </w:t>
      </w:r>
      <w:r>
        <w:rPr>
          <w:rFonts w:ascii="Times New Roman;serif" w:hAnsi="Times New Roman;serif"/>
          <w:b w:val="false"/>
          <w:color w:val="000000"/>
          <w:sz w:val="20"/>
        </w:rPr>
        <w:t xml:space="preserve">and its cash and cash equivalents was </w:t>
      </w:r>
      <w:r>
        <w:rPr>
          <w:rFonts w:ascii="Times New Roman;serif" w:hAnsi="Times New Roman;serif"/>
          <w:b w:val="false"/>
          <w:color w:val="000000"/>
          <w:sz w:val="20"/>
          <w:shd w:fill="FFFFFF" w:val="clear"/>
        </w:rPr>
        <w:t>$155.1 million</w:t>
      </w:r>
      <w:r>
        <w:rPr>
          <w:rFonts w:ascii="Times New Roman;serif" w:hAnsi="Times New Roman;serif"/>
          <w:b w:val="false"/>
          <w:color w:val="000000"/>
          <w:sz w:val="20"/>
        </w:rPr>
        <w:t xml:space="preserve">, which resulted in net debt of approximately </w:t>
      </w:r>
      <w:r>
        <w:rPr>
          <w:rFonts w:ascii="Times New Roman;serif" w:hAnsi="Times New Roman;serif"/>
          <w:b w:val="false"/>
          <w:color w:val="000000"/>
          <w:sz w:val="20"/>
          <w:shd w:fill="FFFFFF" w:val="clear"/>
        </w:rPr>
        <w:t>$721.0 million</w:t>
      </w:r>
      <w:r>
        <w:rPr>
          <w:rFonts w:ascii="Times New Roman;serif" w:hAnsi="Times New Roman;serif"/>
          <w:b w:val="false"/>
          <w:color w:val="000000"/>
          <w:sz w:val="20"/>
        </w:rPr>
        <w:t xml:space="preserve">. The Company’s net debt divided by its trailing twelve months adjusted EBITDA was approximately </w:t>
      </w:r>
      <w:r>
        <w:rPr>
          <w:rFonts w:ascii="Times New Roman;serif" w:hAnsi="Times New Roman;serif"/>
          <w:b w:val="false"/>
          <w:color w:val="000000"/>
          <w:sz w:val="20"/>
          <w:shd w:fill="FFFFFF" w:val="clear"/>
        </w:rPr>
        <w:t>2.3</w:t>
      </w:r>
      <w:r>
        <w:rPr>
          <w:rFonts w:ascii="Times New Roman;serif" w:hAnsi="Times New Roman;serif"/>
          <w:b w:val="false"/>
          <w:color w:val="000000"/>
          <w:sz w:val="20"/>
        </w:rPr>
        <w:t xml:space="preserve">x. </w:t>
      </w:r>
    </w:p>
    <w:p>
      <w:pPr>
        <w:pStyle w:val="TextBody"/>
        <w:bidi w:val="0"/>
        <w:spacing w:lineRule="auto" w:line="288" w:before="0" w:after="120"/>
        <w:jc w:val="left"/>
        <w:rPr/>
      </w:pPr>
      <w:r>
        <w:rPr>
          <w:rFonts w:ascii="Times New Roman;serif" w:hAnsi="Times New Roman;serif"/>
          <w:b w:val="false"/>
          <w:color w:val="000000"/>
          <w:sz w:val="20"/>
        </w:rPr>
        <w:t xml:space="preserve">In the second quarter of 2026, the Company announced a new share repurchase program authorizing the Company to repurchase up to an aggregate of $250 million of Quaker Chemical Corporation common stock, which replaced the 2024 Share Repurchase Plan and has no expiration date. In the second quarter of 2026, the Company repurchased 170,568 shares for approximately </w:t>
      </w:r>
      <w:r>
        <w:rPr>
          <w:rFonts w:ascii="Times New Roman;serif" w:hAnsi="Times New Roman;serif"/>
          <w:b w:val="false"/>
          <w:color w:val="000000"/>
          <w:sz w:val="20"/>
          <w:shd w:fill="FFFFFF" w:val="clear"/>
        </w:rPr>
        <w:t>$24.2 million</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Non-GAAP Measures and Reconciliations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press release includes non-GAAP (unaudited) financial information that includes EBITDA, adjusted EBITDA, adjusted EBITDA margin, non-GAAP operating income, non-GAAP operating margin, non-GAAP gross profit, non-GAAP gross margin, taxes on income before equity in net income of associated companies – adjusted, non-GAAP net income and non-GAAP earnings per diluted share. The Company believes these non-GAAP financial measures provide meaningful supplemental information as they enhance a reader’s understanding of the financial performance of the Company, facilitate a comparison among fiscal periods, and exclude items that management believes are not indicative of future operating performance or considered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non-GAAP gross profit, non-GAAP gross margin, taxes on income before equity in net income of associated companies – adjusted, non-GAAP net income, and non-GAAP earnings per diluted share, as discussed and reconciled below to the most comparable GAAP measures, may not be comparable to similarly named measures reported by other companies.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presents EBITDA, which is calculated as net income attributable to the Company before depreciation and amortization, interest expense, and taxes on income before equity in net income of associated companies. The Company also presents adjusted EBITDA, which is calculated as EBITDA plus or minus certain items that management believes are not indicative of future operating performance or considered core to the Company’s operations. In addition, the Company presents non-GAAP operating income, which is calculated as operating income plus or minus certain items that management believes are not indicative of future operating performance or considered core to the Company’s operations. The Company also presents non-GAAP gross profit, which is calculated as gross profit plus or minus certain items that management believes are not indicative of future operating performance or considered core to the Company’s operations. Additionally, the Company presents non-GAAP Adjusted EBITDA margin, non-GAAP operating margin, and non-GAAP gross margin, which are calculated as the percentage of adjusted EBITDA, non-GAAP operating income, and non-GAAP gross profit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Additionally, the Company presents non-GAAP net income and non-GAAP earnings per diluted share as additional performance measures. Non-GAAP net income is calculated as adjusted EBITDA, defined above, less depreciation and amortization, interest expense,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performance of the Company on a consistent basis.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it relates to future projections for the Company as well as other forward-looking information contained in this press release, the Company has not provided guidance for comparable GAAP measures or a quantitative reconciliation of forward-looking non-GAAP financial measures to the most directly comparable U.S. GAAP measure because it is unable to determine with reasonable certainty the ultimate outcome of certain significant items necessary to calculate such measures without unreasonable effort. These items include, but are not limited to, certain non-recurring or non-core items the Company may record that could materially impact net income. These items are uncertain, depend on various factors, and could have a material impact on the U.S. GAAP reported results for the guidance period. </w:t>
      </w:r>
    </w:p>
    <w:p>
      <w:pPr>
        <w:pStyle w:val="TextBody"/>
        <w:bidi w:val="0"/>
        <w:spacing w:before="200" w:after="12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reference to trailing twelve months adjusted EBITDA within this press release refers to the twelve-month period ended June 30, 2026 adjusted EBITDA of $312.4 million, which consists of (i) the six months ended June 30, 2026 adjusted EBITDA of $157.7 million, as presented in the non-GAAP reconciliations below, and (ii) the twelve months ended December 31, 2025 adjusted EBITDA of $299.2 million, as presented in the non-GAAP reconciliations included in the Company's fourth quarter and full year 2025 results press release dated February 23, 2026, less (iii) the six months ended June 30, 2025 adjusted EBITDA of $144.5 million, as presented in the non-GAAP reconciliations below.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(unaudited) financial measures (dollars in thousands unless otherwise noted,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431"/>
        <w:gridCol w:w="1256"/>
        <w:gridCol w:w="125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43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Non-GAAP Gross Profit and Margin Reconciliations</w:t>
            </w:r>
          </w:p>
        </w:tc>
        <w:tc>
          <w:tcPr>
            <w:tcW w:w="2943"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189,204 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171,723 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365,939 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332,983 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12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Acquisition-related step-up inventory amortization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Gain on inventory and other adjustments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(3,604)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(3,604)</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189,204 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174,141 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365,939 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335,401 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Non-GAAP gross margin (%)</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549"/>
        <w:gridCol w:w="1295"/>
        <w:gridCol w:w="1299"/>
        <w:gridCol w:w="211"/>
        <w:gridCol w:w="721"/>
        <w:gridCol w:w="271"/>
        <w:gridCol w:w="109"/>
        <w:gridCol w:w="109"/>
        <w:gridCol w:w="109"/>
        <w:gridCol w:w="211"/>
        <w:gridCol w:w="779"/>
        <w:gridCol w:w="271"/>
        <w:gridCol w:w="109"/>
        <w:gridCol w:w="109"/>
        <w:gridCol w:w="109"/>
        <w:gridCol w:w="211"/>
        <w:gridCol w:w="826"/>
        <w:gridCol w:w="271"/>
        <w:gridCol w:w="109"/>
        <w:gridCol w:w="109"/>
        <w:gridCol w:w="109"/>
        <w:gridCol w:w="211"/>
        <w:gridCol w:w="779"/>
        <w:gridCol w:w="319"/>
      </w:tblGrid>
      <w:tr>
        <w:trPr/>
        <w:tc>
          <w:tcPr>
            <w:tcW w:w="154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Non-GAAP Operating Income and Margin Reconciliations</w:t>
            </w:r>
          </w:p>
        </w:tc>
        <w:tc>
          <w:tcPr>
            <w:tcW w:w="2791"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40,603 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(52,510)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74,192 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(24,886)</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Acquisition-related step-up inventory amortization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related charges,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8,116 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8,793 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15,497 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23,383 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Acquisition-related expenses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934 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4,133 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Gain on inventory and other adjustments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(3,927)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(3,927)</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Business transformation costs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Impairment charges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Duplicate headquarter lease costs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Acquisition-related depreciation and amortization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3,194 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Other charges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1,165 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55,287 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50,641 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100,636 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96,411 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Non-GAAP operating margin (%)</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9.9 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10.4 </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before="200" w:after="12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41"/>
        <w:gridCol w:w="1194"/>
        <w:gridCol w:w="1197"/>
        <w:gridCol w:w="211"/>
        <w:gridCol w:w="721"/>
        <w:gridCol w:w="271"/>
        <w:gridCol w:w="203"/>
        <w:gridCol w:w="203"/>
        <w:gridCol w:w="109"/>
        <w:gridCol w:w="211"/>
        <w:gridCol w:w="755"/>
        <w:gridCol w:w="271"/>
        <w:gridCol w:w="109"/>
        <w:gridCol w:w="109"/>
        <w:gridCol w:w="109"/>
        <w:gridCol w:w="211"/>
        <w:gridCol w:w="826"/>
        <w:gridCol w:w="271"/>
        <w:gridCol w:w="109"/>
        <w:gridCol w:w="109"/>
        <w:gridCol w:w="109"/>
        <w:gridCol w:w="211"/>
        <w:gridCol w:w="826"/>
        <w:gridCol w:w="319"/>
      </w:tblGrid>
      <w:tr>
        <w:trPr/>
        <w:tc>
          <w:tcPr>
            <w:tcW w:w="15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932"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EBITDA, Adjusted EBITDA, Adjusted EBITDA Margin and Non-GAAP Net Income Reconciliations</w:t>
            </w:r>
          </w:p>
        </w:tc>
        <w:tc>
          <w:tcPr>
            <w:tcW w:w="2955"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32" w:type="dxa"/>
            <w:gridSpan w:val="3"/>
            <w:vMerge w:val="continue"/>
            <w:tcBorders/>
            <w:tcMar>
              <w:top w:w="0" w:type="dxa"/>
              <w:left w:w="0" w:type="dxa"/>
              <w:bottom w:w="0" w:type="dxa"/>
              <w:right w:w="0" w:type="dxa"/>
            </w:tcMar>
            <w:vAlign w:val="center"/>
          </w:tcPr>
          <w:p>
            <w:pPr>
              <w:pStyle w:val="Normal"/>
              <w:bidi w:val="0"/>
              <w:jc w:val="left"/>
              <w:rPr/>
            </w:pPr>
            <w:r>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26,835 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(66,580)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46,504 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(53,658)</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25,595 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23,921 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51,465 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44,751 </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9,873 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12,779 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19,752 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22,324 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Taxes on income before equity in net income of associated companies (b)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11,172 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18,317 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13,014 </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73,475 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(24,408)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136,038 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26,431 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Equity income in a captive insurance company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(3,028)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(2,075)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(3,635)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(2,746)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Acquisition-related step-up inventory amortization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6,022 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related charges,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8,793 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15,497 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23,383 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Acquisition-related expenses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934 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4,133 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Gain on inventory and other adjustments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(3,927)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(3,927)</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Business transformation costs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4,113 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5,772 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Pension and postretirement benefit costs, non-service components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577 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882 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Impairment charges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88,840 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Product liability claim reimbursement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Currency conversion impacts of hyper-inflationary economies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755 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1,187 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(Gain) loss on acquisition-related hedges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1,351 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 of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(2,534)</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93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Debt modification and extinguishment costs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Duplicate headquarter lease costs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1,505 </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85,166 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75,479 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157,696 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144,527 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15.6 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15.6 </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85,166 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75,479 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157,696 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144,527 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Less: Depreciation and amortization (a)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25,595 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23,921 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51,465 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44,751 </w:t>
            </w:r>
          </w:p>
        </w:tc>
        <w:tc>
          <w:tcPr>
            <w:tcW w:w="3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9,873 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12,779 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19,752 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22,324 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Less: Taxes on income before equity in net income of associated companies - adjusted (b)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13,381 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23,396 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21,104 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Plus: Acquisition-related depreciation and amortization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3,194 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1,681 </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37,903 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66,277 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58,029 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12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204"/>
        <w:gridCol w:w="1773"/>
        <w:gridCol w:w="1777"/>
        <w:gridCol w:w="211"/>
        <w:gridCol w:w="511"/>
        <w:gridCol w:w="109"/>
        <w:gridCol w:w="109"/>
        <w:gridCol w:w="109"/>
        <w:gridCol w:w="109"/>
        <w:gridCol w:w="211"/>
        <w:gridCol w:w="560"/>
        <w:gridCol w:w="109"/>
        <w:gridCol w:w="109"/>
        <w:gridCol w:w="109"/>
        <w:gridCol w:w="109"/>
        <w:gridCol w:w="211"/>
        <w:gridCol w:w="511"/>
        <w:gridCol w:w="109"/>
        <w:gridCol w:w="109"/>
        <w:gridCol w:w="109"/>
        <w:gridCol w:w="109"/>
        <w:gridCol w:w="211"/>
        <w:gridCol w:w="560"/>
        <w:gridCol w:w="157"/>
      </w:tblGrid>
      <w:tr>
        <w:trPr/>
        <w:tc>
          <w:tcPr>
            <w:tcW w:w="220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9"/>
            <w:tcBorders/>
            <w:tcMar>
              <w:top w:w="0" w:type="dxa"/>
              <w:left w:w="0" w:type="dxa"/>
              <w:bottom w:w="0" w:type="dxa"/>
              <w:right w:w="0" w:type="dxa"/>
            </w:tcMar>
            <w:vAlign w:val="center"/>
          </w:tcPr>
          <w:p>
            <w:pPr>
              <w:pStyle w:val="TableContents"/>
              <w:bidi w:val="0"/>
              <w:spacing w:lineRule="auto" w:line="288" w:before="0" w:after="120"/>
              <w:ind w:left="0" w:right="0" w:hanging="180"/>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754"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rFonts w:ascii="Times New Roman;serif" w:hAnsi="Times New Roman;serif"/>
                <w:b/>
                <w:color w:val="000000"/>
                <w:sz w:val="20"/>
              </w:rPr>
            </w:pPr>
            <w:r>
              <w:rPr>
                <w:rFonts w:ascii="Times New Roman;serif" w:hAnsi="Times New Roman;serif"/>
                <w:b/>
                <w:color w:val="000000"/>
                <w:sz w:val="20"/>
              </w:rPr>
              <w:t>Non-GAAP Earnings per Diluted Share Reconciliations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54"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GAAP earnings (loss) per diluted share attributable to Quaker Chemical Corporation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(3.04)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Equity income in a captive insurance company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Acquisition-related step-up inventory amortization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related charges, net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Acquisition-related expenses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Gain on inventory and other adjustments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Business transformation costs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Pension and postretirement benefit costs, non-service components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5754"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Impairment charges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4.91 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Product liability claim reimbursement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5754"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Currency conversion impacts of hyper-inflationary economies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(Gain) loss on acquisition-related hedges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 of assets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57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Debt modification and extinguishment costs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Duplicate headquarter lease costs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charges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Discrete tax items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Acquisition-related depreciation and amortization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0.07 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Non-GAAP earnings per diluted share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3.29 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20"/>
          <w:shd w:fill="FFFFFF" w:val="clear"/>
        </w:rPr>
        <w:t>a.</w:t>
      </w:r>
      <w:r>
        <w:rPr>
          <w:rFonts w:ascii="Times New Roman;serif" w:hAnsi="Times New Roman;serif"/>
          <w:b w:val="false"/>
          <w:color w:val="000000"/>
          <w:sz w:val="20"/>
        </w:rPr>
        <w:t xml:space="preserve">Depreciation and amortization for the three and six months ended June 30, 2026 and 2025 each includes approximately $0.2 million and $0.5 million, respectively, of amortization expense recorded within equity in net income of associated companies in the Company’s Condensed Consolidated Statements of Operations. This is attributable to the amortization of the fair value purchase accounting step-up in connection with the acquisition of the Company’s 50% equity interest in Korea Houghton Corporation.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b.Taxes on income before equity in net income of associated companies – adjusted includes the Company’s tax expense adjusted for the impact of any current and deferred income tax expense (benefit), as applicable, of the reconciling items presented in the reconciliation of Net income attributable to Quaker Chemical Corporation to adjusted EBITDA, above, determined utilizing the applicable rates in the taxing jurisdictions in which these adjustments occurred, subject to deductibility. This caption also includes the impact of specific tax charges and benefits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Segment Measures and Reconciliations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Segment operating earnings for each of the Company’s reportable segments are comprised of the segment’s net sales less directly related product costs and other segment items. Operating expenses not directly attributable to the net sales of each respective segment, such as certain corporate and administrative costs and restructuring charges, are not included in segment operating earnings. Other items not specifically identified with the Company’s reportable segments include Interest expense and Other income (expense), net. </w:t>
      </w:r>
    </w:p>
    <w:p>
      <w:pPr>
        <w:pStyle w:val="TextBody"/>
        <w:bidi w:val="0"/>
        <w:spacing w:before="200" w:after="12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performance of the Company’s reportable segments (dollars in thousands):</w:t>
      </w:r>
    </w:p>
    <w:tbl>
      <w:tblPr>
        <w:tblW w:w="10205" w:type="dxa"/>
        <w:jc w:val="center"/>
        <w:tblInd w:w="0" w:type="dxa"/>
        <w:tblLayout w:type="fixed"/>
        <w:tblCellMar>
          <w:top w:w="28" w:type="dxa"/>
          <w:left w:w="28" w:type="dxa"/>
          <w:bottom w:w="28" w:type="dxa"/>
          <w:right w:w="28" w:type="dxa"/>
        </w:tblCellMar>
      </w:tblPr>
      <w:tblGrid>
        <w:gridCol w:w="1671"/>
        <w:gridCol w:w="1310"/>
        <w:gridCol w:w="130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312"/>
      </w:tblGrid>
      <w:tr>
        <w:trPr/>
        <w:tc>
          <w:tcPr>
            <w:tcW w:w="1671"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Net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236,513 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221,062 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450,241 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434,773 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139,923 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300,519 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269,201 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137,601 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122,415 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262,269 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222,340 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firstLine="180"/>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532,550 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483,400 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1,013,029 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926,314 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57,241 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58,976 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111,188 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117,438 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58,301 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48,388 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28,715 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70,835 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54,645 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Total segment operating earnings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126,540 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112,686 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240,324 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220,471 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(23,383)</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(88,840)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(88,840)</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Non-operating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(60,203)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(50,860)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(115,290)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(101,577)</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Depreciation of corporate assets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(16,703)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(35,345)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(31,557)</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40,603 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(52,510)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74,192 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(24,886)</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(9,873)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(12,779)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(19,752)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(22,324)</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Income (loss) before taxes and equity in net income of associated companies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31,136 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(65,942)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54,823 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(48,572)</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2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that fall under the safe harbor provisions of the Private Securities Litigation Reform Act of 1995 and the Securities Act of 1933, as amended. These statements can be identified by the fact that they do not relate strictly to historical or current facts. We have based these forward-looking statements on assumptions, projections and expectations about future events that we believe are reasonable based on currently available information, including statements regarding the potential effects of economic downturns; tariffs, including retaliatory tariffs, “trade wars” and uncertainty surrounding changes in tariffs; inflation and global supply chain constraints on the Company’s business, results of operations, and financial condition; our expectation that we will maintain sufficient liquidity and remain in compliance with the terms of the Company’s credit facility; expectations about future demand and raw material costs; and statements regarding the impact of increased raw material costs and pricing initiatives. These forward-looking statements include statements with respect to our beliefs, plans, objectives, goals, expectations, anticipations, intentions, financial condition, results of operations, future performance, and business, which may differ materially from our actual results, including but not limited to the potential benefits of acquisitions and divestitures, the impacts on our business as a result of global supply chain constraints and other macroeconomic stresses and uncertainties, including political and geopolitical events, civil disturbances and endemics/pandemics or extreme weather events and other natural disasters that may adversely affect regional economic conditions, and our current and future results and plans and statements that include the words “may,” “could,” “should,” “would,” “believe,” “expect,” “anticipate,” “estimate,” “intend,” “outlook,” “target,” “possible,” “potential,” “plan” or similar expressions. Such statements include information relating to current and future business activities, operational matters, capital spending, and financing sources. A major risk is that demand for the Company’s products and services is largely derived from the demand for its customers’ products, which subjects the Company to uncertainties related to downturns in a customer’s business and unanticipated customer production slowdowns and shutdowns. Other major risks and uncertainties include, but are not limited to, inflationary pressures, including increases in raw material costs; supply chain constraints and the impacts of economic downturns; customer financial instability; high interest rates and their impact on our and our customers’ business operations; the impacts from acts of war, terrorism and military conflicts, including those in Ukraine and the Middle East as well as economic and political actions taken by various government organizations; economic and political disruptions globally and the possibility of regime changes; the possibility of economic recession; legislative and regulatory developments including changes to existing laws and regulations, or the way they are interpreted, applied or enforced; tariffs, trade restrictions, and the economic and other sanctions imposed by other nations on Russia and Belarus and/or other government organizations; suspensions of activities in Russia by many multinational companies; foreign currency fluctuations; significant changes in applicable tax rates and regulations and the potential impacts therefrom, including those arising from H.R.1, commonly known as the “One Big Beautiful Bill Act”; other acts of violence; the impacts of consolidation in our industry, including loss or consolidation of a major customer; the effects of climate change, fires, or other natural disasters; and the potential occurrence of cyber-security breaches, cyber-security attacks and other technology outages and security incidents. Furthermore, the Company is subject to the same business cycles as those experienced by our customers in the steel, automobile, aircraft, industrial equipment, aluminum and durable goods industries. 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our actual results to differ materially from expected and historical results. All forward-looking statements included in this press release, including expectations about future periods, are based upon information available to the Company as of the date of this press release, which may change. Therefore, we caution you not to place undue reliance on our forward-looking statements. For more information regarding these risks and uncertainties as well as certain additional risks that we face, refer to the Risk Factors section, which appears in Item 1A of our Annual Report on Form 10-K for the year ended December 31, 2025, and in subsequent reports filed from time to time with the Securities and Exchange Commission. We do not intend to, and we disclaim any duty or obligation to, update or revise any forward-looking statements to reflect new information or future events or for any other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Conference Call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announced, the Company’s investor conference call to discuss its second quarter of 2026 performance is scheduled for Friday, July 31, 2026 at 8:30 a.m. ET. A live webcast of the conference call, together with supplemental information, can be accessed through the Company’s Investor Relations website at investors.quakerhoughton.com. You can also access the conference call by dialing 877-269-7756.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About Quaker Houghton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Quaker Houghton is the global leader in industrial process fluids. With a presence around the world, including operations in over 25 countries, our customers include thousands of the world’s most advanced and specialized steel, aluminum, automotive, aerospace, offshore, can, mining, and metalworking companies. Our high-performing, innovative and sustainable solutions are backed by best-in-class technology, deep process knowledge and customized services. With approximately 4,700 employees, including chemists, engineers and industry experts, we partner with our customers to improve their operations so they can run even more efficiently, even more effectively, whatever comes next. Quaker Houghton is headquartered in Conshohocken, Pennsylvania, located near Philadelphia in the United States. Visit quakerhoughton.com to learn more.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data)</w:t>
      </w:r>
    </w:p>
    <w:tbl>
      <w:tblPr>
        <w:tblW w:w="10205" w:type="dxa"/>
        <w:jc w:val="center"/>
        <w:tblInd w:w="0" w:type="dxa"/>
        <w:tblLayout w:type="fixed"/>
        <w:tblCellMar>
          <w:top w:w="28" w:type="dxa"/>
          <w:left w:w="28" w:type="dxa"/>
          <w:bottom w:w="28" w:type="dxa"/>
          <w:right w:w="28" w:type="dxa"/>
        </w:tblCellMar>
      </w:tblPr>
      <w:tblGrid>
        <w:gridCol w:w="1694"/>
        <w:gridCol w:w="1455"/>
        <w:gridCol w:w="129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6"/>
      </w:tblGrid>
      <w:tr>
        <w:trPr/>
        <w:tc>
          <w:tcPr>
            <w:tcW w:w="1694"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532,550 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483,400 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1,013,029 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926,314 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343,346 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311,677 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647,090 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593,331 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189,204 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171,723 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365,939 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332,983 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140,485 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126,600 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276,250 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245,646 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23,383 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40,603 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(52,510)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74,192 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(24,886)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(9,873)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(12,779)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(19,752)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(22,324)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Income (loss) before taxes and equity in net income of associated companies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31,136 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(65,942)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54,823 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(48,572)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Taxes on income before equity in net income of associated companies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18,317 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13,014 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Income (loss) before equity in net income of associated companies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19,964 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(71,414)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36,506 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(61,586)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Equity in net income of associated companies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10,049 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7,940 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26,813 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(66,563)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46,555 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(53,646)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26,835 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(66,580)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46,504 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(53,658)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Per share data:</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 common shareholders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 common shareholders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17,109,417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17,572,447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17,217,771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17,605,920</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17,199,666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17,592,971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17,299,282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17,630,541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par value)</w:t>
      </w:r>
    </w:p>
    <w:tbl>
      <w:tblPr>
        <w:tblW w:w="9834" w:type="dxa"/>
        <w:jc w:val="center"/>
        <w:tblInd w:w="0" w:type="dxa"/>
        <w:tblLayout w:type="fixed"/>
        <w:tblCellMar>
          <w:top w:w="28" w:type="dxa"/>
          <w:left w:w="28" w:type="dxa"/>
          <w:bottom w:w="28" w:type="dxa"/>
          <w:right w:w="28" w:type="dxa"/>
        </w:tblCellMar>
      </w:tblPr>
      <w:tblGrid>
        <w:gridCol w:w="2483"/>
        <w:gridCol w:w="2190"/>
        <w:gridCol w:w="2197"/>
        <w:gridCol w:w="211"/>
        <w:gridCol w:w="976"/>
        <w:gridCol w:w="109"/>
        <w:gridCol w:w="109"/>
        <w:gridCol w:w="109"/>
        <w:gridCol w:w="109"/>
        <w:gridCol w:w="211"/>
        <w:gridCol w:w="976"/>
        <w:gridCol w:w="154"/>
      </w:tblGrid>
      <w:tr>
        <w:trPr/>
        <w:tc>
          <w:tcPr>
            <w:tcW w:w="2483"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179,829 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463,603 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417,157 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304,110 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265,776 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68,242 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58,428 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991,048 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921,190 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314,596 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313,423 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38,737 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503,721 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501,720 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829,479 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873,540 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Investments in associated companies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105,906 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106,915 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12,128 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39,979 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30,283 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2,851,116 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2,797,936 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Short-term borrowings and current portion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35,657 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234,319 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198,929 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41,192 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Accrued pension and postretirement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92,473 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85,097 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403,397 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380,156 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857,790 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834,901 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37,628 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22,759 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131,314 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140,814 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Non-current accrued pension and postretirement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20,159 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20,615 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20,229 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22,192 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1,470,517 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1,421,437 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$1 par value; authorized 30,000,000 shares; issued and outstanding</w:t>
            </w:r>
          </w:p>
          <w:p>
            <w:pPr>
              <w:pStyle w:val="TableContents"/>
              <w:bidi w:val="0"/>
              <w:spacing w:lineRule="auto" w:line="288" w:before="0" w:after="120"/>
              <w:jc w:val="left"/>
              <w:rPr>
                <w:color w:val="000000"/>
              </w:rPr>
            </w:pPr>
            <w:r>
              <w:rPr>
                <w:color w:val="000000"/>
              </w:rPr>
              <w:t>     </w:t>
            </w:r>
            <w:r>
              <w:rPr>
                <w:rFonts w:ascii="Times New Roman;serif" w:hAnsi="Times New Roman;serif"/>
                <w:b w:val="false"/>
                <w:color w:val="000000"/>
                <w:sz w:val="20"/>
              </w:rPr>
              <w:t>June 30, 2026 – 17,212,963 shares; December 31, 2025 – 17,331,779 shares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855,896 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874,826 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625,554 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596,616 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(121,488)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(115,661)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Total Quaker shareholders’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1,377,175 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1,373,113 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1,380,599 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1,376,499 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2,851,116 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2,797,936 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w:t>
      </w:r>
    </w:p>
    <w:tbl>
      <w:tblPr>
        <w:tblW w:w="10205" w:type="dxa"/>
        <w:jc w:val="center"/>
        <w:tblInd w:w="0" w:type="dxa"/>
        <w:tblLayout w:type="fixed"/>
        <w:tblCellMar>
          <w:top w:w="28" w:type="dxa"/>
          <w:left w:w="28" w:type="dxa"/>
          <w:bottom w:w="28" w:type="dxa"/>
          <w:right w:w="28" w:type="dxa"/>
        </w:tblCellMar>
      </w:tblPr>
      <w:tblGrid>
        <w:gridCol w:w="2761"/>
        <w:gridCol w:w="2381"/>
        <w:gridCol w:w="2397"/>
        <w:gridCol w:w="211"/>
        <w:gridCol w:w="826"/>
        <w:gridCol w:w="109"/>
        <w:gridCol w:w="109"/>
        <w:gridCol w:w="109"/>
        <w:gridCol w:w="109"/>
        <w:gridCol w:w="211"/>
        <w:gridCol w:w="826"/>
        <w:gridCol w:w="156"/>
      </w:tblGrid>
      <w:tr>
        <w:trPr/>
        <w:tc>
          <w:tcPr>
            <w:tcW w:w="2761"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46,555 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(53,646)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44,278 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Equity in undistributed earnings of associated companies, net of dividends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(11,730)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(15,634)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6,903 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23,383 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Inventory step-up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Loss (gain) on disposal of property, plant and equipment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(2,108)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(5,228)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(decrease) in cash from changes in current assets and current liabilities, net of acquisitions: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(47,628)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(40,685)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(11,826)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(10,450)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(3,943)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(11,340)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(15,946)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40,476 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(25,551)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33,242 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38,522 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Investments in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(21,018)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(20,289)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Payments related to acquisitions, net of cash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(164,078)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(18,769)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(180,720)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(629,685)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(17,205)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Borrowings on revolving credit facilities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197,307 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283,000 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Payments on revolving credit facilities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(356,305)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(67,000)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Payments on other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Financing-related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(6,232)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(17,146)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Shares purchased under share repurchase programs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(24,181)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(32,693)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stock related activity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(1,301)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(38,478)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147,554 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7,682 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(24,736)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13,038 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179,829 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188,880 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155,093 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201,918 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kwr2026q2ex-9922.htm"/>
      <w:bookmarkStart w:id="1" w:name="kskwr2026q2ex9922"/>
      <w:bookmarkEnd w:id="0"/>
      <w:bookmarkEnd w:id="1"/>
      <w:r>
        <w:rPr/>
        <w:drawing>
          <wp:inline distT="0" distB="0" distL="0" distR="0">
            <wp:extent cx="9753600" cy="54864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jc w:val="center"/>
        <w:rPr>
          <w:color w:val="FFFFFF"/>
          <w:sz w:val="2"/>
        </w:rPr>
      </w:pPr>
      <w:r>
        <w:rPr>
          <w:color w:val="FFFFFF"/>
          <w:sz w:val="2"/>
        </w:rPr>
        <w:t xml:space="preserve">Quaker Houghton Second Quarter 2026 Results Investor Conference Call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This presentation contains “forward-looking statements” that fall under the safe harbor provisions of the Private Securities Litigation Reform Act of 1995 and the Securities Act of 1933, as amended. These statements can be identified by the fact that they do not relate strictly to historical or current facts. We have based these forward-looking statements on assumptions, projections and expectations about future events that we believe are reasonable based on currently available information, including statements regarding the potential effects of economic downturns; tariffs, including retaliatory tariffs, “trade wars” and uncertainty surrounding changes in tariffs; inflation and global supply chain constraints on the Company’s business, results of operations, and financial condition; our expectation that we will maintain sufficient liquidity and remain in compliance with the terms of the Company’s credit facility; expectations about future demand and raw material costs; and statements regarding the impact of increased raw material costs and pricing initiatives. These forward-looking statements include statements with respect to our beliefs, plans, objectives, goals, expectations, anticipations, intentions, financial condition, results of operations, future performance, and business, which may differ materially from our actual results, including but not limited to the potential benefits of acquisitions and divestitures, the impacts on our business as a result of global supply chain constraints and other macroeconomic stresses and uncertainties, including political and geopolitical events, civil disturbances and endemics/pandemics or extreme weather events and other natural disasters that may adversely affect regional economic conditions, and our current and future results and plans and statements that include the words “may,” “could,” “should,” “would,” “believe,” “expect,” “anticipate,” “estimate,” “intend,” “outlook,” “target,” “possible,” “potential,” “plan” or similar expressions. Such statements include information relating to current and future business activities, operational matters, capital spending, and financing sources. A major risk is that demand for the Company’s products and services is largely derived from the demand for its customers’ products, which subjects the Company to uncertainties related to downturns in a customer’s business and unanticipated customer production slowdowns and shutdowns. Other major risks and uncertainties include, but are not limited to, inflationary pressures, including increases in raw material costs; supply chain constraints and the impacts of economic downturns; customer financial instability; high interest rates and their impact on our and our customers’ business operations; the impacts from acts of war, terrorism and military conflicts, including those in Ukraine and the Middle East as well as economic and political actions taken by various government organizations; economic and political disruptions globally and the possibility of regime changes; the possibility of economic recession; legislative and regulatory developments including changes to existing laws and regulations, or the way they are interpreted, applied or enforced; tariffs, trade restrictions, and the economic and other sanctions imposed by other nations on Russia and Belarus and/or other government organizations; suspensions of activities in Russia by many multinational companies; foreign currency fluctuations; significant changes in applicable tax rates and regulations and the potential impacts therefrom, including those arising from H.R.1, commonly known as the “One Big Beautiful Bill Act”; other acts of violence; the impacts of consolidation in our industry, including loss or consolidation of a major customer; the effects of climate change, fires, or other natural disasters; and the potential occurrence of cyber-security breaches, cyber-security attacks and other technology outages and security incidents. Furthermore, the Company is subject to the same business cycles as those experienced by our customers in the steel, automobile, aircraft, industrial equipment, aluminum and durable goods industries. 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our actual results to differ materially from expected and historical results. All forward-looking statements included in this presentation, including expectations about future periods, are based upon information available to the Company as of the date of this presentation, which may change. Therefore, we caution you not to place undue reliance on our forward-looking statements. For more information regarding these risks and uncertainties as well as certain additional risks that we face, refer to the Risk Factors section, which appears in Item 1A of our Annual Report on Form 10-K for the year ended December 31, 2025, and in subsequent reports filed from time to time with the Securities and Exchange Commission. We do not intend to, and we disclaim any duty or obligation to, update or revise any forward-looking statements to reflect new information or future events or for any other reason. ©2026 Quaker Houghton. All Rights Reserved 2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information in this presentation includes non-GAAP (unaudited) financial information that includes EBITDA, adjusted EBITDA, adjusted EBITDA margin, non-GAAP operating income, non-GAAP operating margin, non-GAAP gross profit, non-GAAP gross margin, taxes on income before equity in net income of associated companies – adjusted, non-GAAP net income and non-GAAP earnings per diluted share. The Company believes these non-GAAP financial measures provide meaningful supplemental information as they enhance a reader’s understanding of the financial performance of the Company, facilitate a comparison among fiscal periods, and exclude items that management believes are not indicative of future operating performance or considered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non-GAAP gross profit, non-GAAP gross margin, taxes on income before equity in net income of associated companies – adjusted, non-GAAP net income, and non-GAAP earnings per diluted share, as discussed and reconciled below to the most comparable GAAP measures, may not be comparable to similarly named measures reported by other companies. The Company presents EBITDA, which is calculated as net income attributable to the Company before depreciation and amortization, interest expense, and taxes on income before equity in net income of associated companies. The Company also presents adjusted EBITDA, which is calculated as EBITDA plus or minus certain items that management believes are not indicative of future operating performance or considered core to the Company’s operations. In addition, the Company presents non-GAAP operating income, which is calculated as operating income plus or minus certain items that management believes are not indicative of future operating performance or considered core to the Company’s operations. The Company also presents non-GAAP gross profit, which is calculated as gross profit plus or minus certain items that management believes are not indicative of future operating performance or considered core to the Company’s operations. Additionally, the Company presents non-GAAP Adjusted EBITDA margin, non-GAAP operating margin, and non-GAAP gross margin, which are calculated as the percentage of adjusted EBITDA, non-GAAP operating income, and non-GAAP gross profit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 Additionally, the Company presents non-GAAP net income and non-GAAP earnings per diluted share as additional performance measures. Non-GAAP net income is calculated as adjusted EBITDA, defined above, less depreciation and amortization, interest expense,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performance of the Company on a consistent basis. As it relates to future projections for the Company as well as other forward-looking information contained in this presentation, the Company has not provided guidance for comparable GAAP measures or a quantitative reconciliation of forward-looking non-GAAP financial measures to the most directly comparable U.S. GAAP measure because it is unable to determine with reasonable certainty the ultimate outcome of certain significant items necessary to calculate such measures without unreasonable effort. These items include, but are not limited to, certain non-recurring or non-core items the Company may record that could materially impact net income. These items are uncertain, depend on various factors, and could have a material impact on the U.S. GAAP reported results for the guidance period. The following charts should be read in conjunction with the Company’s second quarter earnings news release dated July 30, 2026, which has been furnished to the Securities and Exchange Commission on Form 8-K, the Company’s Annual Report for the year ended December 31, 2025, and the Company’s 10-Q for the period ended June 30, 2026. These documents may contain additional explanatory language and information regarding certain of the items included in the following reconciliations. ©2026 Quaker Houghton. All Rights Reserved 3 Non-GAAP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Joe Berquist Chief Executive Officer, President Tom Coler Executive Vice President, Chief Financial Officer Robert T. Traub Senior Vice President, General Counsel &amp; Corporate Secretary John Dalhoff Director, Investor Relations ©2026 Quaker Houghton. All Rights Reserved 4 Speakers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Q2’26 Highlights © 2026 Quaker Houghton. All Rights Reserved $533m Net Sales $158m Adjusted EBITDA1 5 $2.19 Non-GAAP Earnings per Diluted Share1 2.3x Leverage Ratio1,2 1 This is a non-GAAP measure, refer to the reconciliations of our non-GAAP measures to their most comparable GAAP measures provided within this presentation and in our SEC filings 2 Leverage ratio defined as gross debt minus cash and cash equivalents divided by trailing twelve month adjusted EBITDA $33m Operating Cash Flow Q2’26 YTD 2026 $1,013m Net Sales $3.82 Non-GAAP Earnings per Diluted Share1 Adjusted EBITDA1 $85m $29m Operating Cash Flow $24m Share Repurchases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Quaker Houghton. All Rights Reserved 6 Financial Snapshot (Unaudited; Dollars in millions, unless otherwise noted) 1 Certain amounts may not calculate due to rounding 2 These are non-GAAP measures. Refer to the reconciliations of our non-GAAP measures to their most comparable GAAP measures provided within this presentation and in our SEC filings. Q2 2026 Q2 2025 Variance(1) YTD 2026 YTD 2025 Variance(1) GAAP Net sales $ 532.6 $ 483.4 $ 49.2 10.2% $ 1,013.0 $ 926.3 $ 86.7 9.4% Gross profit 189.2 171.7 17.5 10.2% 365.9 333.0 33.0 9.9% Gross margin (%) 35.5% 35.5% —% 36.1% 35.9% 0.2% Operating income 40.6 (52.5) 93.1 (177.3%) 74.2 (24.9) 99.1 (398.1%) Operating income margin (%) 7.6% (10.9%) 18.5% 7.3% (2.7%) 10.0% Net income 26.8 (66.6) 93.4 (140.3%) 46.5 (53.7) 100.2 (186.7%) Earnings per diluted share 1.55 (3.78) 5.33 (141.0%) 2.68 (3.04) 5.72 (188.2%) Non-GAAP (2) Non-GAAP gross profit $ 189.2 $ 174.1 $ 15.1 8.7% $ 365.9 $ 335.4 $ 30.5 9.1% Non-GAAP profit margin (%) 35.5% 36.0% (0.5%) 36.1% 36.2% (0.1%) Non-GAAP operating income 55.3 50.6 4.6 9.2% 100.6 96.4 4.2 4.4% Non-GAAP operating margin (%) 10.4% 10.5% (0.1%) 9.9% 10.4% (0.5%) Adjusted EBITDA 85.2 75.5 9.7 12.8% 157.7 144.5 13.2 9.1% Adjusted EBITDA margin (%) 16.0% 15.6% 0.4% 15.6% 15.6% —% Non-GAAP earnings per diluted share 2.19 1.71 0.48 28.1% 3.82 3.29 0.53 16.1%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Sales volumes increased by 7% in Q2’26 compared to Q2’25, primarily due to new business wins across all segments. Sequentially, sales volumes increased by 7% in Q2’26 compared to Q1’26 Total Company Volume Trend1 (kilograms) 7 ©2026 Quaker Houghton. All Rights Reserved Q1 2024 Q2 2024 Q3 2024 Q4 2024 Q1 2025 Q2 2025 Q3 2025 Q4 2025 Q1 2026 Q2 2026 1 The total company volume trend excludes volumes related to business impacted due to the war in Ukraine and volumes relating to the Sutai, Natech and Dipsol acquisitions.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Quaker Houghton. All Rights Reserved 8 Adjusted EBITDA1 (dollars in millions) Generated $85m of adjusted EBITDA in Q2’26, an increase of 13% year-over-year 1 This is a non-GAAP measure, refer to the reconciliations of our non-GAAP measures to their most comparable GAAP measures provided within this presentation and in our SEC filings. 2 The Company's reference to trailing twelve months adjusted EBITDA refers to the twelve-month period ended June 30, 2026 adjusted EBITDA of $312.4 million, which consists of (i) the six months ended June 30, 2026 adjusted EBITDA of $157.7 million and (ii) the twelve months ended December 31, 2025 adjusted EBITDA of $299.2 million less (iii) the six months ended June 30, 2025 adjusted EBITDA of $144.5 million. $257 $320 $311 $299 $312 2022 2023 2024 2025 Q2'26 LTM $75 $85 Q2 2025 Q2 20262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Leverage and Liquidity Update 9 ©2026 Quaker Houghton. All Rights Reserved 1 Leverage ratio, which is a non-GAAP measure, is defined as gross debt minus cash and cash equivalents divided by trailing twelve month adjusted EBITDA 2 Defined as net debt divided by trailing twelve month adjusted EBITDA, as calculated under the terms of the credit agreement $765 $787 $815 $774 $753 $696 $628 $561 $574 $549 $529 $519 $551 $735 $703 $691 $705 $721 Mar- 22 3.0x Jun- 22 3.2x Sep- 22 3.3x Dec- 22 3.0x Mar- 23 2.7x Jun- 23 2.3x Sep- 23 2.0x Dec- 23 1.8x Mar- 24 1.8x Jun- 24 1.7x Sep- 24 1.6x Dec- 24 1.7x Mar- 25 1.9x Jun- 25 2.6x Sep- 25 2.4x Dec- 25 2.3x Mar- 26 2.3x Jun- 26 2.3x Net Debt and Leverage Ratio1 (Dollars in Millions) • Total debt of $876 million • Cash and cash equivalents of $155 million • Net debt of $721 million • Leverage of 2.3x as of June 30, 20261 • Operating well within bank covenants ◦ Bank leverage of 2.1x as of June 30, 2026 ◦ Maximum permitted leverage of 4.25x2 • Healthy balance sheet and ample liquidity ◦ Amended our credit agreement in April 2026, extending nearest term maturity to April 2031 and increasing available credit with improved terms ◦ Q2’26 cost of debt on credit facility was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Actual and Non-GAAP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Quaker Houghton. All Rights Reserved 11 Non-GAAP Gross Profit and Operating Income Reconciliation (Unaudited; Dollars in thousands, unless otherwise noted) Three Months Ended June 30, Six Months Ended June 30, Non-GAAP Operating Income and Margin Reconciliations 2026 2025 2026 2025 Operating income (loss) $ 40,603 $ (52,510) $ 74,192 $ (24,886) Acquisition-related step-up inventory amortization — 6,022 — 6,022 Restructuring and related charges, net 8,116 8,793 15,497 23,383 Acquisition-related expenses 219 803 934 4,133 Gain on inventory and other adjustments — (3,927) — (3,927) Business transformation costs 4,113 — 5,772 — Impairment charges — 88,840 — 88,840 Duplicate headquarter lease costs 564 — 886 — Acquisition-related depreciation and amortization 1,586 1,681 3,194 1,681 Other charges 86 939 161 1,165 Non-GAAP operating income $ 55,287 $ 50,641 $ 100,636 $ 96,411 Non-GAAP operating margin (%) 10.4 % 10.5 % 9.9 % 10.4 % Three Months Ended June 30, Six Months Ended June 30, Non-GAAP Gross Profit and Margin Reconciliations 2026 2025 2026 2025 Gross profit $ 189,204 $ 171,723 $ 365,939 $ 332,983 Acquisition-related step-up inventory amortization — 6,022 — 6,022 Gain on inventory and other adjustments — (3,604) — (3,604) Non-GAAP gross profit $ 189,204 $ 174,141 $ 365,939 $ 335,401 Non-GAAP profit margin (%) 35.5 % 36.0 % 36.1 % 36.2 %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Quaker Houghton. All Rights Reserved 12 Adjusted EBITDA Reconciliation (Unaudited; Dollars in thousands, unless otherwise noted) EBITDA, Adjusted EBITDA, Adjusted EBITDA Margin Reconciliations: Three Months Ended June 30, Six Months Ended June 30, 2026 2025 2026 2025 Net income attributable to Quaker Chemical Corporation $ 26,835 $ (66,580) $ 46,504 $ (53,658) Depreciation and amortization 25,595 23,921 51,465 44,751 Interest expense 9,873 12,779 19,752 22,324 Taxes on income before equity in net income of associated companies 11,172 5,472 18,317 13,014 EBITDA 73,475 (24,408) 136,038 26,431 Equity income in a captive insurance company (3,028) (2,075) (3,635) (2,746) Acquisition-related step-up inventory amortization — 6,022 — 6,022 Restructuring and related charges, net 8,116 8,793 15,497 23,383 Acquisition-related expenses 219 803 934 4,133 Gain on inventory and other adjustments — (3,927) — (3,927) Business transformation costs 4,113 — 5,772 — Pension and postretirement benefit costs, non-service components 326 449 577 882 Impairment charges — 88,840 — 88,840 Product liability claim reimbursement (1,000) — (1,000) — Currency conversion impacts of hyper-inflationary economies 584 652 755 1,187 (Gain) loss on acquisition-related hedges — (592) — 1,351 Gain on sale of assets — (357) — (2,534) Debt modification and extinguishment costs 1,711 — 1,711 — Duplicate headquarter lease costs 564 — 886 — Other charges 86 1,279 161 1,505 Adjusted EBITDA $ 85,166 $ 75,479 $ 157,696 $ 144,527 Adjusted EBITDA margin (%) 16.0 % 15.6 % 15.6 % 15.6 %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Quaker Houghton. All Rights Reserved 13 EBITDA, Adjusted EBITDA, and Adjusted EBITDA Margin Reconciliations: Twelve Months Ended December 31, 2025 2024 2023 2022 Net income attributable to Quaker Chemical Corporation $ (2,488) $ 116,644 $ 112,748 $ (15,931) Depreciation and amortization 94,402 85,108 83,020 81,514 Interest expense 44,048 41,002 50,699 32,579 Taxes on income before equity in net income of associated companies 24,607 49,300 55,585 24,925 EBITDA 160,569 292,054 302,052 123,087 Equity income in a captive insurance company (4,272) (2,930) (2,090) 1,427 Acquisition-related step-up inventory amortization 6,022 — — — Restructuring and related charges, net 35,130 6,530 7,588 3,163 Acquisition-related expenses (credits) 12,031 1,454 (475) 10,990 Strategic planning expenses (credits) 579 (290) 4,704 14,446 Gain on inventory and other adjustments (3,256) — — — Pension and postretirement benefit costs, non-service components 1,676 1,827 2,033 (1,704) Executive transition costs — 7,288 688 2,813 Customer insolvency costs — 3,213 — — Currency conversion impacts of hyper-inflationary economies 2,216 811 7,849 1,617 Impairment charges 88,840 — — 93,000 Loss on acquisition-related hedges 1,351 — — — Gain on sale of assets (2,534) (492) — — Multiemployer plan withdrawal charge 923 — — — Brazilian non-income tax credits (1,762) — — — Loss on extinguishment of debt — — — 6,763 Other charges 1,725 1,453 (1,970) 1,548 Adjusted EBITDA $ 299,238 $ 310,918 $ 320,379 $ 257,150 Adjusted EBITDA Reconciliation (Unaudited; Dollars in thousands, unless otherwise noted)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Quaker Houghton. All Rights Reserved 14 Non-GAAP EPS Reconciliation Three Months Ended June 30, Six Months Ended June 30, Non-GAAP Earnings per Diluted Share Reconciliations 2026 2025 2026 2025 GAAP earnings (loss) per diluted share attributable to Quaker Chemical Corporation common shareholders $ 1.55 $ (3.78) $ 2.68 $ (3.04) Equity income in a captive insurance company (0.18) (0.12) (0.21) (0.16) Acquisition-related step-up inventory amortization — 0.25 — 0.25 Restructuring and related charges, net 0.34 0.38 0.66 1.00 Acquisition-related expenses 0.01 0.05 0.04 0.19 Gain on inventory and other adjustments — (0.16) — (0.16) Business transformation costs 0.18 — 0.25 — Pension and postretirement benefit costs, non-service components 0.01 0.02 0.02 0.04 Impairment charges — 4.91 — 4.91 Product liability claim reimbursement (0.04) — (0.04) — Currency conversion impacts of hyper-inflationary economies 0.03 0.04 0.04 0.07 (Gain) loss on acquisition-related hedges — (0.02) — 0.06 Gain on sale of assets — (0.02) — (0.11) Debt modification and extinguishment costs 0.08 — 0.08 — Duplicate headquarter lease costs 0.03 — 0.04 — Other charges 0.01 0.04 0.01 0.04 Discrete tax items 0.10 0.05 0.12 0.13 Acquisition-related depreciation and amortization 0.07 0.07 0.13 0.07 Non-GAAP earnings per diluted share $ 2.19 $ 1.71 $ 3.82 $ 3.29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Quaker Houghton. All Rights Reserved 15 Segment Performance (Unaudited; Dollars in thousands, except per share amounts) Three Months Ended June 30, Six Months Ended June 30, 2026 2025 2026 2025 Net sales Americas $ 236,513 $ 221,062 $ 450,241 $ 434,773 EMEA 158,436 139,923 300,519 269,201 Asia/Pacific 137,601 122,415 262,269 222,340 Total net sales $ 532,550 $ 483,400 $ 1,013,029 $ 926,314 Segment operating earnings Americas $ 57,241 $ 58,976 $ 111,188 $ 117,438 EMEA 32,740 24,995 58,301 48,388 Asia/Pacific 36,559 28,715 70,835 54,645 Total segment operating earnings 126,540 112,686 240,324 220,471 Restructuring and related charges, net (8,116) (8,793) (15,497) (23,383) Non-operating and administrative expenses (60,203) (50,860) (115,290) (101,577) Depreciation of corporate assets and amortization (17,618) (16,703) (35,345) (31,557) Operating income (loss) 40,603 (52,510) 74,192 (24,886) Other income (expense), net 406 (653) 383 (1,362) Interest expense (9,873) (12,779) (19,752) (22,324) Income (loss) before taxes and equity in net income of associated $ 31,136 $ (65,942) $ 54,823 $ (48,572)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8878</Words>
  <Characters>51538</Characters>
  <CharactersWithSpaces>60000</CharactersWithSpaces>
  <Paragraphs>1203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kwr2026q2ex-9922</dc:title>
</cp:coreProperties>
</file>