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SD</w:t>
      </w:r>
    </w:p>
    <w:p>
      <w:pPr>
        <w:spacing w:after="0" w:line="238" w:lineRule="auto"/>
        <w:rPr>
          <w:sz w:val="20"/>
          <w:szCs w:val="20"/>
          <w:color w:val="auto"/>
        </w:rPr>
      </w:pPr>
      <w:r>
        <w:rPr>
          <w:rFonts w:ascii="Courier New" w:cs="Courier New" w:eastAsia="Courier New" w:hAnsi="Courier New"/>
          <w:sz w:val="18"/>
          <w:szCs w:val="18"/>
          <w:color w:val="auto"/>
        </w:rPr>
        <w:t>Specialized Disclosure Report</w:t>
      </w:r>
    </w:p>
    <w:p>
      <w:pPr>
        <w:spacing w:after="0" w:line="238" w:lineRule="auto"/>
        <w:rPr>
          <w:sz w:val="20"/>
          <w:szCs w:val="20"/>
          <w:color w:val="auto"/>
        </w:rPr>
      </w:pPr>
      <w:r>
        <w:rPr>
          <w:rFonts w:ascii="Courier New" w:cs="Courier New" w:eastAsia="Courier New" w:hAnsi="Courier New"/>
          <w:sz w:val="18"/>
          <w:szCs w:val="18"/>
          <w:color w:val="auto"/>
        </w:rPr>
        <w:t>QUAKER CHEMICAL CORPORATION</w:t>
      </w:r>
    </w:p>
    <w:p>
      <w:pPr>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Pennsylvania</w:t>
      </w:r>
    </w:p>
    <w:p>
      <w:pPr>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001-12019</w:t>
      </w:r>
    </w:p>
    <w:p>
      <w:pPr>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23-0993790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901 E. Hector Street,</w:t>
      </w:r>
    </w:p>
    <w:p>
      <w:pPr>
        <w:spacing w:after="0" w:line="238" w:lineRule="auto"/>
        <w:rPr>
          <w:sz w:val="20"/>
          <w:szCs w:val="20"/>
          <w:color w:val="auto"/>
        </w:rPr>
      </w:pPr>
      <w:r>
        <w:rPr>
          <w:rFonts w:ascii="Courier New" w:cs="Courier New" w:eastAsia="Courier New" w:hAnsi="Courier New"/>
          <w:sz w:val="18"/>
          <w:szCs w:val="18"/>
          <w:color w:val="auto"/>
        </w:rPr>
        <w:t>Conshohocken, Pennsylvania</w:t>
      </w:r>
    </w:p>
    <w:p>
      <w:pPr>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19428-2380</w:t>
      </w:r>
    </w:p>
    <w:p>
      <w:pPr>
        <w:spacing w:after="0" w:line="238" w:lineRule="auto"/>
        <w:rPr>
          <w:sz w:val="20"/>
          <w:szCs w:val="20"/>
          <w:color w:val="auto"/>
        </w:rPr>
      </w:pPr>
      <w:r>
        <w:rPr>
          <w:rFonts w:ascii="Courier New" w:cs="Courier New" w:eastAsia="Courier New" w:hAnsi="Courier New"/>
          <w:sz w:val="18"/>
          <w:szCs w:val="18"/>
          <w:color w:val="auto"/>
        </w:rPr>
        <w:t>(Zip Code)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T. Traub, Esquire</w:t>
      </w:r>
    </w:p>
    <w:p>
      <w:pPr>
        <w:spacing w:after="0" w:line="4" w:lineRule="exact"/>
        <w:rPr>
          <w:sz w:val="24"/>
          <w:szCs w:val="24"/>
          <w:color w:val="auto"/>
        </w:rPr>
      </w:pPr>
    </w:p>
    <w:p>
      <w:pPr>
        <w:ind w:right="3599"/>
        <w:spacing w:after="0" w:line="235" w:lineRule="auto"/>
        <w:rPr>
          <w:sz w:val="20"/>
          <w:szCs w:val="20"/>
          <w:color w:val="auto"/>
        </w:rPr>
      </w:pPr>
      <w:r>
        <w:rPr>
          <w:rFonts w:ascii="Courier New" w:cs="Courier New" w:eastAsia="Courier New" w:hAnsi="Courier New"/>
          <w:sz w:val="18"/>
          <w:szCs w:val="18"/>
          <w:color w:val="auto"/>
        </w:rPr>
        <w:t>Senior Vice President, General Counsel and Corporate Secretary Phone Number: (610) 832-4000</w:t>
      </w:r>
    </w:p>
    <w:p>
      <w:pPr>
        <w:spacing w:after="0" w:line="6"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(Name and telephone number, including area code, of the person to contact in connection with this report)</w:t>
      </w:r>
    </w:p>
    <w:p>
      <w:pPr>
        <w:spacing w:after="0" w:line="208" w:lineRule="exact"/>
        <w:rPr>
          <w:sz w:val="24"/>
          <w:szCs w:val="24"/>
          <w:color w:val="auto"/>
        </w:rPr>
      </w:pPr>
    </w:p>
    <w:p>
      <w:pPr>
        <w:ind w:right="2239" w:firstLine="211"/>
        <w:spacing w:after="0" w:line="235" w:lineRule="auto"/>
        <w:rPr>
          <w:sz w:val="20"/>
          <w:szCs w:val="20"/>
          <w:color w:val="auto"/>
        </w:rPr>
      </w:pPr>
      <w:r>
        <w:rPr>
          <w:rFonts w:ascii="Courier New" w:cs="Courier New" w:eastAsia="Courier New" w:hAnsi="Courier New"/>
          <w:sz w:val="18"/>
          <w:szCs w:val="18"/>
          <w:color w:val="auto"/>
        </w:rPr>
        <w:t>x Rule 13p-1 under the Securities Exchange Act (17 CFR 240.13p-1) for the reporting period from January 1, 2021 to December 31, 2021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1 - Conflict Minerals Disclosure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Conflict Minerals Disclosure and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Specialized Disclosure Report on Form SD (this "Form SD") of Quaker</w:t>
      </w:r>
    </w:p>
    <w:p>
      <w:pPr>
        <w:spacing w:after="0" w:line="238" w:lineRule="auto"/>
        <w:rPr>
          <w:sz w:val="20"/>
          <w:szCs w:val="20"/>
          <w:color w:val="auto"/>
        </w:rPr>
      </w:pPr>
      <w:r>
        <w:rPr>
          <w:rFonts w:ascii="Courier New" w:cs="Courier New" w:eastAsia="Courier New" w:hAnsi="Courier New"/>
          <w:sz w:val="18"/>
          <w:szCs w:val="18"/>
          <w:color w:val="auto"/>
        </w:rPr>
        <w:t>Chemical Corporation (the "Company") is filed pursuant to Rule 13p-1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promulgated under the Securities Exchange Act of 1934, as amended (the "Exchange</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Act"), for the reporting period January 1, 2021 to December 31, 2021. Pursuant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Rule 13p-1 and Section 13(p) of the Exchange Act, which implements Section</w:t>
      </w:r>
    </w:p>
    <w:p>
      <w:pPr>
        <w:spacing w:after="0" w:line="238" w:lineRule="auto"/>
        <w:rPr>
          <w:sz w:val="20"/>
          <w:szCs w:val="20"/>
          <w:color w:val="auto"/>
        </w:rPr>
      </w:pPr>
      <w:r>
        <w:rPr>
          <w:rFonts w:ascii="Courier New" w:cs="Courier New" w:eastAsia="Courier New" w:hAnsi="Courier New"/>
          <w:sz w:val="18"/>
          <w:szCs w:val="18"/>
          <w:color w:val="auto"/>
        </w:rPr>
        <w:t>1502 of the Dodd-Frank Wall Street Reform and Consumer Protection Act,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Company is required to make certain inquiries and perform certain due diligence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with respect to any "conflict minerals" (as defined by paragraph (d)(3) of Item</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of Form SD) that are necessary to the functionality or production of a</w:t>
      </w:r>
    </w:p>
    <w:p>
      <w:pPr>
        <w:spacing w:after="0" w:line="238" w:lineRule="auto"/>
        <w:rPr>
          <w:sz w:val="20"/>
          <w:szCs w:val="20"/>
          <w:color w:val="auto"/>
        </w:rPr>
      </w:pPr>
      <w:r>
        <w:rPr>
          <w:rFonts w:ascii="Courier New" w:cs="Courier New" w:eastAsia="Courier New" w:hAnsi="Courier New"/>
          <w:sz w:val="18"/>
          <w:szCs w:val="18"/>
          <w:color w:val="auto"/>
        </w:rPr>
        <w:t>product manufactured (or contracted to be manufactured) by the Company or any</w:t>
      </w:r>
    </w:p>
    <w:p>
      <w:pPr>
        <w:spacing w:after="0" w:line="238" w:lineRule="auto"/>
        <w:rPr>
          <w:sz w:val="20"/>
          <w:szCs w:val="20"/>
          <w:color w:val="auto"/>
        </w:rPr>
      </w:pPr>
      <w:r>
        <w:rPr>
          <w:rFonts w:ascii="Courier New" w:cs="Courier New" w:eastAsia="Courier New" w:hAnsi="Courier New"/>
          <w:sz w:val="18"/>
          <w:szCs w:val="18"/>
          <w:color w:val="auto"/>
        </w:rPr>
        <w:t>of its subsidiaries.</w:t>
      </w:r>
    </w:p>
    <w:p>
      <w:pPr>
        <w:spacing w:after="0" w:line="200" w:lineRule="exact"/>
        <w:rPr>
          <w:sz w:val="24"/>
          <w:szCs w:val="24"/>
          <w:color w:val="auto"/>
        </w:rPr>
      </w:pPr>
    </w:p>
    <w:p>
      <w:pPr>
        <w:spacing w:after="0" w:line="210"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 copy of the Company's Conflict Minerals Report is provided as Exhibit 1.01 to this Form SD and is publicly available under the "Governance Overview" section under the "Investors" tab of the Company's website at www.quakerhoughton.com. References to the Company's website are provided for convenience only, and its contents are not incorporated by reference into this Form SD or the Conflict Minerals Report, nor are they deemed filed with the Securities and Exchange Commission.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1.02. Exhibit</w:t>
      </w:r>
    </w:p>
    <w:p>
      <w:pPr>
        <w:spacing w:after="0" w:line="207"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A copy of the Company's Conflict Minerals Report is filed as Exhibit 1.01 to this Form SD.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2 - Resourse Extraction Issuer Disclosure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Section 3 -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3.01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Exhibits</w:t>
      </w:r>
    </w:p>
    <w:p>
      <w:pPr>
        <w:sectPr>
          <w:pgSz w:w="11900" w:h="16838" w:orient="portrait"/>
          <w:cols w:equalWidth="0" w:num="1">
            <w:col w:w="10139"/>
          </w:cols>
          <w:pgMar w:left="32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1.01</w:t>
      </w:r>
    </w:p>
    <w:p>
      <w:pPr>
        <w:spacing w:after="0" w:line="4"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8"/>
          <w:szCs w:val="18"/>
          <w:color w:val="auto"/>
        </w:rPr>
        <w:t>Conflict Minerals Report of Quaker Chemical Corporation for the period of January 1, 2021 to December 31, 2021 as required by Items 1.01 and 1.02 of this Form.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1934,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31,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QUAKER CHEMICAL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T. Traub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T. Traub, Esquire</w:t>
      </w:r>
    </w:p>
    <w:p>
      <w:pPr>
        <w:spacing w:after="0" w:line="238" w:lineRule="auto"/>
        <w:rPr>
          <w:sz w:val="20"/>
          <w:szCs w:val="20"/>
          <w:color w:val="auto"/>
        </w:rPr>
      </w:pPr>
      <w:r>
        <w:rPr>
          <w:rFonts w:ascii="Courier New" w:cs="Courier New" w:eastAsia="Courier New" w:hAnsi="Courier New"/>
          <w:sz w:val="18"/>
          <w:szCs w:val="18"/>
          <w:color w:val="auto"/>
        </w:rPr>
        <w:t>Senior Vice President, General Counsel and</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139"/>
          </w:cols>
          <w:pgMar w:left="320" w:top="136" w:right="1440" w:bottom="1440" w:gutter="0" w:footer="0" w:header="0"/>
        </w:sectPr>
      </w:pPr>
    </w:p>
    <w:bookmarkStart w:id="2" w:name="page3"/>
    <w:bookmarkEnd w:id="2"/>
    <w:p>
      <w:pPr>
        <w:ind w:right="3399"/>
        <w:spacing w:after="0" w:line="235" w:lineRule="auto"/>
        <w:rPr>
          <w:sz w:val="20"/>
          <w:szCs w:val="20"/>
          <w:color w:val="auto"/>
        </w:rPr>
      </w:pPr>
      <w:r>
        <w:rPr>
          <w:rFonts w:ascii="Courier New" w:cs="Courier New" w:eastAsia="Courier New" w:hAnsi="Courier New"/>
          <w:sz w:val="18"/>
          <w:szCs w:val="18"/>
          <w:color w:val="auto"/>
        </w:rPr>
        <w:t>Conflict Minerals Report of Quaker Chemicals Corporation for the period of January 1, 2021 to December 31, 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Introduction</w:t>
      </w:r>
    </w:p>
    <w:p>
      <w:pPr>
        <w:spacing w:after="0" w:line="4"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This Conflict Minerals Report describes the due diligence process of Quaker Chemical Corporation, doing business as Quaker Houghton, and its subsidiaries and affiliates listed on Exhibit 21 of its 10-K filed with Securities and Exchange Commission (the "Company," and "Quaker Houghton"), in accordance with the requirements of Rule 13p-1 of the Securities Exchange Act or 1934, as amended. On October 1, 2019, the Company completed its acquisition of the operating divisions of Norman Hay plc ("Norman Hay"), a private U.K. company that provides specialty chemicals, operating equipment, and services to industrial end markets. The acquisition of Norman Hay included its subsidiary, SIFCO Applied Surface Concepts, LLC ("SIFCO") which sells products that contain tin, tungsten, and gold. For purposes of this Conflict Minerals Report, the discussion of the Company and SIFCO will be presented separately.</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Overview</w:t>
      </w:r>
    </w:p>
    <w:p>
      <w:pPr>
        <w:spacing w:after="0" w:line="4"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Quaker Houghton was organized in 1918, incorporated as a Pennsylvania business corporation in 1930, and in August 2019 completed a combination with Houghton International Inc. ("Houghton") to form Quaker Houghton. Quaker Houghton is a global leader in industrial process fluids. With a presence around the world, including operations in over 25 countries, the Company's customers include thousands of the world's most advanced and specialized steel, aluminum, automotive, aerospace, offshore, can, mining, and metal working companies. Quaker Houghton develops, produces, and markets a broad range of formulated chemical specialty products and offers chemical management services for various heavy industrial and manufacturing applications throughout its four segments: Americas; Europe, Middle East, and Africa; Asia-Pacific; and Global Specialty Businesses. SIFCO provides selective electroplating and anodizing services, chemical solutions, and equipment.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major product lines of Quaker Houghton include metal removal fluids,</w:t>
      </w:r>
    </w:p>
    <w:p>
      <w:pPr>
        <w:spacing w:after="0" w:line="238" w:lineRule="auto"/>
        <w:rPr>
          <w:sz w:val="20"/>
          <w:szCs w:val="20"/>
          <w:color w:val="auto"/>
        </w:rPr>
      </w:pPr>
      <w:r>
        <w:rPr>
          <w:rFonts w:ascii="Courier New" w:cs="Courier New" w:eastAsia="Courier New" w:hAnsi="Courier New"/>
          <w:sz w:val="18"/>
          <w:szCs w:val="18"/>
          <w:color w:val="auto"/>
        </w:rPr>
        <w:t>cleaning fluids, corrosion inhibitors, metal drawing and forming fluids,</w:t>
      </w:r>
    </w:p>
    <w:p>
      <w:pPr>
        <w:spacing w:after="0" w:line="238" w:lineRule="auto"/>
        <w:rPr>
          <w:sz w:val="20"/>
          <w:szCs w:val="20"/>
          <w:color w:val="auto"/>
        </w:rPr>
      </w:pPr>
      <w:r>
        <w:rPr>
          <w:rFonts w:ascii="Courier New" w:cs="Courier New" w:eastAsia="Courier New" w:hAnsi="Courier New"/>
          <w:sz w:val="18"/>
          <w:szCs w:val="18"/>
          <w:color w:val="auto"/>
        </w:rPr>
        <w:t>die cast mold releases, heat treatment and quenchants, metal forging fluids,</w:t>
      </w:r>
    </w:p>
    <w:p>
      <w:pPr>
        <w:spacing w:after="0"/>
        <w:rPr>
          <w:sz w:val="20"/>
          <w:szCs w:val="20"/>
          <w:color w:val="auto"/>
        </w:rPr>
      </w:pPr>
      <w:r>
        <w:rPr>
          <w:rFonts w:ascii="Courier New" w:cs="Courier New" w:eastAsia="Courier New" w:hAnsi="Courier New"/>
          <w:sz w:val="18"/>
          <w:szCs w:val="18"/>
          <w:color w:val="auto"/>
        </w:rPr>
        <w:t>hydraulic fluids, specialty greases, offshore sub-sea energy control fluids,</w:t>
      </w:r>
    </w:p>
    <w:p>
      <w:pPr>
        <w:spacing w:after="0" w:line="237" w:lineRule="auto"/>
        <w:rPr>
          <w:sz w:val="20"/>
          <w:szCs w:val="20"/>
          <w:color w:val="auto"/>
        </w:rPr>
      </w:pPr>
      <w:r>
        <w:rPr>
          <w:rFonts w:ascii="Courier New" w:cs="Courier New" w:eastAsia="Courier New" w:hAnsi="Courier New"/>
          <w:sz w:val="18"/>
          <w:szCs w:val="18"/>
          <w:color w:val="auto"/>
        </w:rPr>
        <w:t>rolling lubricants, rod and wire drawing fluids, and surface treatment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chemicals. Certain of Quaker Houghton's products include tin which is necessary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the functionality or production of these products. Certain of the SIFCO</w:t>
      </w:r>
    </w:p>
    <w:p>
      <w:pPr>
        <w:spacing w:after="0" w:line="238" w:lineRule="auto"/>
        <w:rPr>
          <w:sz w:val="20"/>
          <w:szCs w:val="20"/>
          <w:color w:val="auto"/>
        </w:rPr>
      </w:pPr>
      <w:r>
        <w:rPr>
          <w:rFonts w:ascii="Courier New" w:cs="Courier New" w:eastAsia="Courier New" w:hAnsi="Courier New"/>
          <w:sz w:val="18"/>
          <w:szCs w:val="18"/>
          <w:color w:val="auto"/>
        </w:rPr>
        <w:t>products include tin, tungsten, and gold which is necessary to the</w:t>
      </w:r>
    </w:p>
    <w:p>
      <w:pPr>
        <w:spacing w:after="0" w:line="238" w:lineRule="auto"/>
        <w:rPr>
          <w:sz w:val="20"/>
          <w:szCs w:val="20"/>
          <w:color w:val="auto"/>
        </w:rPr>
      </w:pPr>
      <w:r>
        <w:rPr>
          <w:rFonts w:ascii="Courier New" w:cs="Courier New" w:eastAsia="Courier New" w:hAnsi="Courier New"/>
          <w:sz w:val="18"/>
          <w:szCs w:val="18"/>
          <w:color w:val="auto"/>
        </w:rPr>
        <w:t>functionality or production of these products. Tin, tantalum, tungsten, and</w:t>
      </w:r>
    </w:p>
    <w:p>
      <w:pPr>
        <w:spacing w:after="0"/>
        <w:rPr>
          <w:sz w:val="20"/>
          <w:szCs w:val="20"/>
          <w:color w:val="auto"/>
        </w:rPr>
      </w:pPr>
      <w:r>
        <w:rPr>
          <w:rFonts w:ascii="Courier New" w:cs="Courier New" w:eastAsia="Courier New" w:hAnsi="Courier New"/>
          <w:sz w:val="18"/>
          <w:szCs w:val="18"/>
          <w:color w:val="auto"/>
        </w:rPr>
        <w:t>gold are referred to collectively as "3TG." Covered Countries refers to the</w:t>
      </w:r>
    </w:p>
    <w:p>
      <w:pPr>
        <w:spacing w:after="0" w:line="237" w:lineRule="auto"/>
        <w:rPr>
          <w:sz w:val="20"/>
          <w:szCs w:val="20"/>
          <w:color w:val="auto"/>
        </w:rPr>
      </w:pPr>
      <w:r>
        <w:rPr>
          <w:rFonts w:ascii="Courier New" w:cs="Courier New" w:eastAsia="Courier New" w:hAnsi="Courier New"/>
          <w:sz w:val="18"/>
          <w:szCs w:val="18"/>
          <w:color w:val="auto"/>
        </w:rPr>
        <w:t>Democratic Republic of the Congo ("DRC") or an adjoining country, i.e., a</w:t>
      </w:r>
    </w:p>
    <w:p>
      <w:pPr>
        <w:spacing w:after="0" w:line="238" w:lineRule="auto"/>
        <w:rPr>
          <w:sz w:val="20"/>
          <w:szCs w:val="20"/>
          <w:color w:val="auto"/>
        </w:rPr>
      </w:pPr>
      <w:r>
        <w:rPr>
          <w:rFonts w:ascii="Courier New" w:cs="Courier New" w:eastAsia="Courier New" w:hAnsi="Courier New"/>
          <w:sz w:val="18"/>
          <w:szCs w:val="18"/>
          <w:color w:val="auto"/>
        </w:rPr>
        <w:t>country that shares an internationally recognized border with the DRC.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Reasonable Country of Origin and Due Diligence</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To implement a reasonable country of origin inquiry ("RCOI") for the tin supplied to Quaker Houghton, the Company conducted an internal analysis of its products and components to identify those that contain tin. Quaker Houghton's analysis identified approximately 16 products that contain tin, some of which is sourced from recycled scrap. Quaker Houghton reviewed and evaluated information provided by its tin suppliers and prepared a Conflict Minerals Reporting Template ("CMRT") in accordance with the instructions provided by the Responsible Minerals Initiative ("RMI").</w:t>
      </w:r>
    </w:p>
    <w:p>
      <w:pPr>
        <w:spacing w:after="0" w:line="212"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Quaker Houghton's due diligence process is based on the Organization for Economic Co-operation and Development's Due Diligence Guidance for Responsible Supply Chains of Minerals from Conflict-Affected and High-Risk Areas and accompanying supplements (the "OECD Framework"), which is an internationally recognized due diligence framework. Quaker Houghton has adopted a Conflict Minerals Policy Statement that expresses the Company's commitment to the responsible sourcing of 3TG minerals necessary for the production and functionality of its products. The Company's Conflict Minerals Policy Statement is publicly available on the Company's website at: https://investors.quakerhoughton.com. Quaker Houghton has a Supplier Code</w:t>
      </w:r>
    </w:p>
    <w:p>
      <w:pPr>
        <w:spacing w:after="0" w:line="11"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of Conduct, which is based on the UN Global Compact Initiative and the global chemical Responsible Care program, and is available on the Company's website (https://home.quakerhoughton.com/supplier-code-of-conduct/). Quaker Houghton's Supplier Code of Conduct requires suppliers to abide by all applicable laws and regulations related to conflict minerals. In addition, Quaker Houghton requires certain relevant suppliers to provide the following information annually: smelter source information; conflict minerals policy statements; and any other due diligence documentation.</w:t>
      </w:r>
    </w:p>
    <w:p>
      <w:pPr>
        <w:spacing w:after="0" w:line="212"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SIFCO's RCOI analysis identified approximately 42 products that contain tin, tungsten, and/or gold.SIFCO reviewed and evaluated information provided by its tin, tungsten, and gold suppliers and prepared a Conflict Minerals Reporting Template in accordance with the instructions provided by the RMI.</w:t>
      </w:r>
    </w:p>
    <w:p>
      <w:pPr>
        <w:spacing w:after="0" w:line="207" w:lineRule="exact"/>
        <w:rPr>
          <w:sz w:val="20"/>
          <w:szCs w:val="20"/>
          <w:color w:val="auto"/>
        </w:rPr>
      </w:pPr>
    </w:p>
    <w:p>
      <w:pPr>
        <w:ind w:right="1919"/>
        <w:spacing w:after="0" w:line="290" w:lineRule="auto"/>
        <w:rPr>
          <w:sz w:val="20"/>
          <w:szCs w:val="20"/>
          <w:color w:val="auto"/>
        </w:rPr>
      </w:pPr>
      <w:r>
        <w:rPr>
          <w:rFonts w:ascii="Courier New" w:cs="Courier New" w:eastAsia="Courier New" w:hAnsi="Courier New"/>
          <w:sz w:val="16"/>
          <w:szCs w:val="16"/>
          <w:color w:val="auto"/>
        </w:rPr>
        <w:t>SIFCO has adopted a Conflict Minerals Policy Statement that expresses the Company's commitment to sourcing materials from suppliers who share its values</w:t>
      </w:r>
    </w:p>
    <w:p>
      <w:pPr>
        <w:sectPr>
          <w:pgSz w:w="11900" w:h="16838" w:orient="portrait"/>
          <w:cols w:equalWidth="0" w:num="1">
            <w:col w:w="10139"/>
          </w:cols>
          <w:pgMar w:left="320" w:top="142" w:right="1440" w:bottom="0" w:gutter="0" w:footer="0" w:header="0"/>
        </w:sectPr>
      </w:pPr>
    </w:p>
    <w:bookmarkStart w:id="3" w:name="page4"/>
    <w:bookmarkEnd w:id="3"/>
    <w:p>
      <w:pPr>
        <w:ind w:right="1819"/>
        <w:spacing w:after="0" w:line="237" w:lineRule="auto"/>
        <w:rPr>
          <w:sz w:val="20"/>
          <w:szCs w:val="20"/>
          <w:color w:val="auto"/>
        </w:rPr>
      </w:pPr>
      <w:r>
        <w:rPr>
          <w:rFonts w:ascii="Courier New" w:cs="Courier New" w:eastAsia="Courier New" w:hAnsi="Courier New"/>
          <w:sz w:val="18"/>
          <w:szCs w:val="18"/>
          <w:color w:val="auto"/>
        </w:rPr>
        <w:t>with regard to protecting human rights, following moral and business ethics, and practicing environmental responsibility. SIFCO's Conflict Minerals Policy Statement is publicly available on the SIFCO website at: SIFCO ASC : Terms and Conditions. The SIFCO Conflict Minerals Policy Statement requires its suppliers to comply with all applicable legal standards and requirements. SIFCO works with its supply chain to ensure completed CMRTs are received from its suppliers and maintained in SIFCO's files. SIFCO's Conflict Minerals Policy Statement provides that any supplier who fails to comply with the Conflict Minerals Policy Statement is subject to termination by SIFCO.</w:t>
      </w:r>
    </w:p>
    <w:p>
      <w:pPr>
        <w:spacing w:after="0" w:line="207" w:lineRule="exact"/>
        <w:rPr>
          <w:sz w:val="20"/>
          <w:szCs w:val="20"/>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Smelters</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Quaker Houghton compared the tin smelters identified in its supply chain to the facilities identified by the RMI Responsible Minerals Assurance Process ("RMAP") as conformant. The RMAP assesses facilities' systems and processes for traceability of ore and demonstration of conflict-free sourcing. The RMAP uses an independent third-party assessment of smelter management systems and sourcing practices to validate conformance with RMAP standards. The RMAP standards are developed to meet the requirements of the OECD Due Diligence Guidance. Information on the RMAP process can be found at: http://www.responsiblemineralsinitiative.org/responsible-minerals-assurance-process/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list of conformant smelters is published and maintained on RMI's website:</w:t>
      </w:r>
    </w:p>
    <w:p>
      <w:pPr>
        <w:spacing w:after="0" w:line="238" w:lineRule="auto"/>
        <w:rPr>
          <w:sz w:val="20"/>
          <w:szCs w:val="20"/>
          <w:color w:val="auto"/>
        </w:rPr>
      </w:pPr>
      <w:r>
        <w:rPr>
          <w:rFonts w:ascii="Courier New" w:cs="Courier New" w:eastAsia="Courier New" w:hAnsi="Courier New"/>
          <w:sz w:val="18"/>
          <w:szCs w:val="18"/>
          <w:color w:val="auto"/>
        </w:rPr>
        <w:t>Export All Conformant Smelters (responsiblemineralsinitiative.org).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Quaker Houghton Smelters</w:t>
      </w:r>
    </w:p>
    <w:p>
      <w:pPr>
        <w:spacing w:after="0" w:line="238" w:lineRule="auto"/>
        <w:rPr>
          <w:sz w:val="20"/>
          <w:szCs w:val="20"/>
          <w:color w:val="auto"/>
        </w:rPr>
      </w:pPr>
      <w:r>
        <w:rPr>
          <w:rFonts w:ascii="Courier New" w:cs="Courier New" w:eastAsia="Courier New" w:hAnsi="Courier New"/>
          <w:sz w:val="18"/>
          <w:szCs w:val="18"/>
          <w:color w:val="auto"/>
        </w:rPr>
        <w:t>Quaker Houghton identified the following smelters as the source of its tin,</w:t>
      </w:r>
    </w:p>
    <w:p>
      <w:pPr>
        <w:spacing w:after="0" w:line="5"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all of which are included in the RMAP list of conformant smelters. A few of the smelters identified have a reassessment in progress.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EM Vinto</w:t>
      </w:r>
    </w:p>
    <w:p>
      <w:pPr>
        <w:spacing w:after="0" w:line="238" w:lineRule="auto"/>
        <w:rPr>
          <w:sz w:val="20"/>
          <w:szCs w:val="20"/>
          <w:color w:val="auto"/>
        </w:rPr>
      </w:pPr>
      <w:r>
        <w:rPr>
          <w:rFonts w:ascii="Courier New" w:cs="Courier New" w:eastAsia="Courier New" w:hAnsi="Courier New"/>
          <w:sz w:val="18"/>
          <w:szCs w:val="18"/>
          <w:color w:val="auto"/>
        </w:rPr>
        <w:t>Smelter ID: CID000438</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BOLIVIA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Malaysia Smelting Corporation (MSC)</w:t>
      </w:r>
    </w:p>
    <w:p>
      <w:pPr>
        <w:spacing w:after="0" w:line="238" w:lineRule="auto"/>
        <w:rPr>
          <w:sz w:val="20"/>
          <w:szCs w:val="20"/>
          <w:color w:val="auto"/>
        </w:rPr>
      </w:pPr>
      <w:r>
        <w:rPr>
          <w:rFonts w:ascii="Courier New" w:cs="Courier New" w:eastAsia="Courier New" w:hAnsi="Courier New"/>
          <w:sz w:val="18"/>
          <w:szCs w:val="18"/>
          <w:color w:val="auto"/>
        </w:rPr>
        <w:t>Smelter ID: CID001105</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MALAYSIA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Metallo Belgium N.V.</w:t>
      </w:r>
    </w:p>
    <w:p>
      <w:pPr>
        <w:spacing w:after="0" w:line="238" w:lineRule="auto"/>
        <w:rPr>
          <w:sz w:val="20"/>
          <w:szCs w:val="20"/>
          <w:color w:val="auto"/>
        </w:rPr>
      </w:pPr>
      <w:r>
        <w:rPr>
          <w:rFonts w:ascii="Courier New" w:cs="Courier New" w:eastAsia="Courier New" w:hAnsi="Courier New"/>
          <w:sz w:val="18"/>
          <w:szCs w:val="18"/>
          <w:color w:val="auto"/>
        </w:rPr>
        <w:t>Smelter ID: CID002773</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BELGIUM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Mineracao Taboca S.A.</w:t>
      </w:r>
    </w:p>
    <w:p>
      <w:pPr>
        <w:spacing w:after="0" w:line="238" w:lineRule="auto"/>
        <w:rPr>
          <w:sz w:val="20"/>
          <w:szCs w:val="20"/>
          <w:color w:val="auto"/>
        </w:rPr>
      </w:pPr>
      <w:r>
        <w:rPr>
          <w:rFonts w:ascii="Courier New" w:cs="Courier New" w:eastAsia="Courier New" w:hAnsi="Courier New"/>
          <w:sz w:val="18"/>
          <w:szCs w:val="18"/>
          <w:color w:val="auto"/>
        </w:rPr>
        <w:t>Smelter ID: CID001173</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BRAZIL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Minsur</w:t>
      </w:r>
    </w:p>
    <w:p>
      <w:pPr>
        <w:spacing w:after="0" w:line="238" w:lineRule="auto"/>
        <w:rPr>
          <w:sz w:val="20"/>
          <w:szCs w:val="20"/>
          <w:color w:val="auto"/>
        </w:rPr>
      </w:pPr>
      <w:r>
        <w:rPr>
          <w:rFonts w:ascii="Courier New" w:cs="Courier New" w:eastAsia="Courier New" w:hAnsi="Courier New"/>
          <w:sz w:val="18"/>
          <w:szCs w:val="18"/>
          <w:color w:val="auto"/>
        </w:rPr>
        <w:t>Smelter ID: CID001182</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PERU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PT Timah Tbk Mentok</w:t>
      </w:r>
    </w:p>
    <w:p>
      <w:pPr>
        <w:spacing w:after="0" w:line="238" w:lineRule="auto"/>
        <w:rPr>
          <w:sz w:val="20"/>
          <w:szCs w:val="20"/>
          <w:color w:val="auto"/>
        </w:rPr>
      </w:pPr>
      <w:r>
        <w:rPr>
          <w:rFonts w:ascii="Courier New" w:cs="Courier New" w:eastAsia="Courier New" w:hAnsi="Courier New"/>
          <w:sz w:val="18"/>
          <w:szCs w:val="18"/>
          <w:color w:val="auto"/>
        </w:rPr>
        <w:t>Smelter ID: CID001482</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INDONESIA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PT Timah (Persero) Tbk Kundur</w:t>
      </w:r>
    </w:p>
    <w:p>
      <w:pPr>
        <w:spacing w:after="0" w:line="238" w:lineRule="auto"/>
        <w:rPr>
          <w:sz w:val="20"/>
          <w:szCs w:val="20"/>
          <w:color w:val="auto"/>
        </w:rPr>
      </w:pPr>
      <w:r>
        <w:rPr>
          <w:rFonts w:ascii="Courier New" w:cs="Courier New" w:eastAsia="Courier New" w:hAnsi="Courier New"/>
          <w:sz w:val="18"/>
          <w:szCs w:val="18"/>
          <w:color w:val="auto"/>
        </w:rPr>
        <w:t>Smelter ID: CID001477</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INDONESIA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Thaisarco</w:t>
      </w:r>
    </w:p>
    <w:p>
      <w:pPr>
        <w:spacing w:after="0" w:line="238" w:lineRule="auto"/>
        <w:rPr>
          <w:sz w:val="20"/>
          <w:szCs w:val="20"/>
          <w:color w:val="auto"/>
        </w:rPr>
      </w:pPr>
      <w:r>
        <w:rPr>
          <w:rFonts w:ascii="Courier New" w:cs="Courier New" w:eastAsia="Courier New" w:hAnsi="Courier New"/>
          <w:sz w:val="18"/>
          <w:szCs w:val="18"/>
          <w:color w:val="auto"/>
        </w:rPr>
        <w:t>Smelter ID: CID001898</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THAILAND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Tin Technology &amp; Refining</w:t>
      </w:r>
    </w:p>
    <w:p>
      <w:pPr>
        <w:spacing w:after="0" w:line="238" w:lineRule="auto"/>
        <w:rPr>
          <w:sz w:val="20"/>
          <w:szCs w:val="20"/>
          <w:color w:val="auto"/>
        </w:rPr>
      </w:pPr>
      <w:r>
        <w:rPr>
          <w:rFonts w:ascii="Courier New" w:cs="Courier New" w:eastAsia="Courier New" w:hAnsi="Courier New"/>
          <w:sz w:val="18"/>
          <w:szCs w:val="18"/>
          <w:color w:val="auto"/>
        </w:rPr>
        <w:t>Smelter ID: CID003325</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8" w:lineRule="auto"/>
        <w:rPr>
          <w:sz w:val="20"/>
          <w:szCs w:val="20"/>
          <w:color w:val="auto"/>
        </w:rPr>
      </w:pPr>
      <w:r>
        <w:rPr>
          <w:rFonts w:ascii="Courier New" w:cs="Courier New" w:eastAsia="Courier New" w:hAnsi="Courier New"/>
          <w:sz w:val="18"/>
          <w:szCs w:val="18"/>
          <w:color w:val="auto"/>
        </w:rPr>
        <w:t>Smelter Location: 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White Solder Metalurgia e Mineracao Ltda.</w:t>
      </w:r>
    </w:p>
    <w:p>
      <w:pPr>
        <w:spacing w:after="0" w:line="238" w:lineRule="auto"/>
        <w:rPr>
          <w:sz w:val="20"/>
          <w:szCs w:val="20"/>
          <w:color w:val="auto"/>
        </w:rPr>
      </w:pPr>
      <w:r>
        <w:rPr>
          <w:rFonts w:ascii="Courier New" w:cs="Courier New" w:eastAsia="Courier New" w:hAnsi="Courier New"/>
          <w:sz w:val="18"/>
          <w:szCs w:val="18"/>
          <w:color w:val="auto"/>
        </w:rPr>
        <w:t>Smelter ID: CID002036</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BRAZIL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PT Tinindo Inter Nusa</w:t>
      </w:r>
    </w:p>
    <w:p>
      <w:pPr>
        <w:spacing w:after="0" w:line="238" w:lineRule="auto"/>
        <w:rPr>
          <w:sz w:val="20"/>
          <w:szCs w:val="20"/>
          <w:color w:val="auto"/>
        </w:rPr>
      </w:pPr>
      <w:r>
        <w:rPr>
          <w:rFonts w:ascii="Courier New" w:cs="Courier New" w:eastAsia="Courier New" w:hAnsi="Courier New"/>
          <w:sz w:val="18"/>
          <w:szCs w:val="18"/>
          <w:color w:val="auto"/>
        </w:rPr>
        <w:t>Smelter ID: CID001490</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INDONESIA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PT Refined Bangka Tin</w:t>
      </w:r>
    </w:p>
    <w:p>
      <w:pPr>
        <w:spacing w:after="0" w:line="238" w:lineRule="auto"/>
        <w:rPr>
          <w:sz w:val="20"/>
          <w:szCs w:val="20"/>
          <w:color w:val="auto"/>
        </w:rPr>
      </w:pPr>
      <w:r>
        <w:rPr>
          <w:rFonts w:ascii="Courier New" w:cs="Courier New" w:eastAsia="Courier New" w:hAnsi="Courier New"/>
          <w:sz w:val="18"/>
          <w:szCs w:val="18"/>
          <w:color w:val="auto"/>
        </w:rPr>
        <w:t>Smelter ID: CID001460</w:t>
      </w:r>
    </w:p>
    <w:p>
      <w:pPr>
        <w:spacing w:after="0"/>
        <w:rPr>
          <w:sz w:val="20"/>
          <w:szCs w:val="20"/>
          <w:color w:val="auto"/>
        </w:rPr>
      </w:pPr>
      <w:r>
        <w:rPr>
          <w:rFonts w:ascii="Courier New" w:cs="Courier New" w:eastAsia="Courier New" w:hAnsi="Courier New"/>
          <w:sz w:val="18"/>
          <w:szCs w:val="18"/>
          <w:color w:val="auto"/>
        </w:rPr>
        <w:t>Conformant Smelter(1): Yes</w:t>
      </w:r>
    </w:p>
    <w:p>
      <w:pPr>
        <w:spacing w:after="0" w:line="237" w:lineRule="auto"/>
        <w:rPr>
          <w:sz w:val="20"/>
          <w:szCs w:val="20"/>
          <w:color w:val="auto"/>
        </w:rPr>
      </w:pPr>
      <w:r>
        <w:rPr>
          <w:rFonts w:ascii="Courier New" w:cs="Courier New" w:eastAsia="Courier New" w:hAnsi="Courier New"/>
          <w:sz w:val="18"/>
          <w:szCs w:val="18"/>
          <w:color w:val="auto"/>
        </w:rPr>
        <w:t>Smelter Location: INDONESIA</w:t>
      </w:r>
    </w:p>
    <w:p>
      <w:pPr>
        <w:spacing w:after="0" w:line="207" w:lineRule="exact"/>
        <w:rPr>
          <w:sz w:val="20"/>
          <w:szCs w:val="20"/>
          <w:color w:val="auto"/>
        </w:rPr>
      </w:pPr>
    </w:p>
    <w:p>
      <w:pPr>
        <w:ind w:right="211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Conformant refers to facilities that are listed by RMI as of May 2022 as conformant with RMAP protocols or certified or accredited by a similar independent assessment program cross-recognized by RMAP.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SIFCO Smelters</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SIFCO identified the following smelters as the source of its tin, tungsten, and gold, all of which are included in the RMAP list of conformant smelters except for Zhuzhou Cemented Carbide Group Co. Ltd. A few of the smelters identified have a reassessment in progress.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Minsur S.A. Metal: Tin Metal</w:t>
      </w:r>
    </w:p>
    <w:p>
      <w:pPr>
        <w:spacing w:after="0" w:line="238" w:lineRule="auto"/>
        <w:rPr>
          <w:sz w:val="20"/>
          <w:szCs w:val="20"/>
          <w:color w:val="auto"/>
        </w:rPr>
      </w:pPr>
      <w:r>
        <w:rPr>
          <w:rFonts w:ascii="Courier New" w:cs="Courier New" w:eastAsia="Courier New" w:hAnsi="Courier New"/>
          <w:sz w:val="18"/>
          <w:szCs w:val="18"/>
          <w:color w:val="auto"/>
        </w:rPr>
        <w:t>Smelter ID:</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PERU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PT Timah</w:t>
      </w:r>
    </w:p>
    <w:p>
      <w:pPr>
        <w:spacing w:after="0" w:line="238" w:lineRule="auto"/>
        <w:rPr>
          <w:sz w:val="20"/>
          <w:szCs w:val="20"/>
          <w:color w:val="auto"/>
        </w:rPr>
      </w:pPr>
      <w:r>
        <w:rPr>
          <w:rFonts w:ascii="Courier New" w:cs="Courier New" w:eastAsia="Courier New" w:hAnsi="Courier New"/>
          <w:sz w:val="18"/>
          <w:szCs w:val="18"/>
          <w:color w:val="auto"/>
        </w:rPr>
        <w:t>Smelter ID:</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INDONESIA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EM Vinto</w:t>
      </w:r>
    </w:p>
    <w:p>
      <w:pPr>
        <w:spacing w:after="0" w:line="238" w:lineRule="auto"/>
        <w:rPr>
          <w:sz w:val="20"/>
          <w:szCs w:val="20"/>
          <w:color w:val="auto"/>
        </w:rPr>
      </w:pPr>
      <w:r>
        <w:rPr>
          <w:rFonts w:ascii="Courier New" w:cs="Courier New" w:eastAsia="Courier New" w:hAnsi="Courier New"/>
          <w:sz w:val="18"/>
          <w:szCs w:val="18"/>
          <w:color w:val="auto"/>
        </w:rPr>
        <w:t>Smelter ID: CID000438</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BOLIVIA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Thailand Smelting &amp; Refining Co., Ltd (Thaisarco)</w:t>
      </w:r>
    </w:p>
    <w:p>
      <w:pPr>
        <w:spacing w:after="0" w:line="238" w:lineRule="auto"/>
        <w:rPr>
          <w:sz w:val="20"/>
          <w:szCs w:val="20"/>
          <w:color w:val="auto"/>
        </w:rPr>
      </w:pPr>
      <w:r>
        <w:rPr>
          <w:rFonts w:ascii="Courier New" w:cs="Courier New" w:eastAsia="Courier New" w:hAnsi="Courier New"/>
          <w:sz w:val="18"/>
          <w:szCs w:val="18"/>
          <w:color w:val="auto"/>
        </w:rPr>
        <w:t>Conformant Smelter(2): Yes</w:t>
      </w:r>
    </w:p>
    <w:p>
      <w:pPr>
        <w:spacing w:after="0"/>
        <w:rPr>
          <w:sz w:val="20"/>
          <w:szCs w:val="20"/>
          <w:color w:val="auto"/>
        </w:rPr>
      </w:pPr>
      <w:r>
        <w:rPr>
          <w:rFonts w:ascii="Courier New" w:cs="Courier New" w:eastAsia="Courier New" w:hAnsi="Courier New"/>
          <w:sz w:val="18"/>
          <w:szCs w:val="18"/>
          <w:color w:val="auto"/>
        </w:rPr>
        <w:t>Smelter Location: THAILAND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Yun Nan Tin Co. LTD (YTCL)</w:t>
      </w:r>
    </w:p>
    <w:p>
      <w:pPr>
        <w:spacing w:after="0" w:line="238" w:lineRule="auto"/>
        <w:rPr>
          <w:sz w:val="20"/>
          <w:szCs w:val="20"/>
          <w:color w:val="auto"/>
        </w:rPr>
      </w:pPr>
      <w:r>
        <w:rPr>
          <w:rFonts w:ascii="Courier New" w:cs="Courier New" w:eastAsia="Courier New" w:hAnsi="Courier New"/>
          <w:sz w:val="18"/>
          <w:szCs w:val="18"/>
          <w:color w:val="auto"/>
        </w:rPr>
        <w:t>Smelter ID: CID002180</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Malaysia Smelting Corporation (MSC)</w:t>
      </w:r>
    </w:p>
    <w:p>
      <w:pPr>
        <w:spacing w:after="0" w:line="238" w:lineRule="auto"/>
        <w:rPr>
          <w:sz w:val="20"/>
          <w:szCs w:val="20"/>
          <w:color w:val="auto"/>
        </w:rPr>
      </w:pPr>
      <w:r>
        <w:rPr>
          <w:rFonts w:ascii="Courier New" w:cs="Courier New" w:eastAsia="Courier New" w:hAnsi="Courier New"/>
          <w:sz w:val="18"/>
          <w:szCs w:val="18"/>
          <w:color w:val="auto"/>
        </w:rPr>
        <w:t>Smelter ID: CID001105</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MALAYSIA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Tin</w:t>
      </w:r>
    </w:p>
    <w:p>
      <w:pPr>
        <w:spacing w:after="0" w:line="238" w:lineRule="auto"/>
        <w:rPr>
          <w:sz w:val="20"/>
          <w:szCs w:val="20"/>
          <w:color w:val="auto"/>
        </w:rPr>
      </w:pPr>
      <w:r>
        <w:rPr>
          <w:rFonts w:ascii="Courier New" w:cs="Courier New" w:eastAsia="Courier New" w:hAnsi="Courier New"/>
          <w:sz w:val="18"/>
          <w:szCs w:val="18"/>
          <w:color w:val="auto"/>
        </w:rPr>
        <w:t>Official Smelter Name: Funsur Minsur</w:t>
      </w:r>
    </w:p>
    <w:p>
      <w:pPr>
        <w:spacing w:after="0" w:line="238" w:lineRule="auto"/>
        <w:rPr>
          <w:sz w:val="20"/>
          <w:szCs w:val="20"/>
          <w:color w:val="auto"/>
        </w:rPr>
      </w:pPr>
      <w:r>
        <w:rPr>
          <w:rFonts w:ascii="Courier New" w:cs="Courier New" w:eastAsia="Courier New" w:hAnsi="Courier New"/>
          <w:sz w:val="18"/>
          <w:szCs w:val="18"/>
          <w:color w:val="auto"/>
        </w:rPr>
        <w:t>Smelter ID: CID001182</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PERU</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Tungsten</w:t>
      </w:r>
    </w:p>
    <w:p>
      <w:pPr>
        <w:spacing w:after="0" w:line="238" w:lineRule="auto"/>
        <w:rPr>
          <w:sz w:val="20"/>
          <w:szCs w:val="20"/>
          <w:color w:val="auto"/>
        </w:rPr>
      </w:pPr>
      <w:r>
        <w:rPr>
          <w:rFonts w:ascii="Courier New" w:cs="Courier New" w:eastAsia="Courier New" w:hAnsi="Courier New"/>
          <w:sz w:val="18"/>
          <w:szCs w:val="18"/>
          <w:color w:val="auto"/>
        </w:rPr>
        <w:t>Official Smelter Name: Xiamen Tungsten Co., Ltd</w:t>
      </w:r>
    </w:p>
    <w:p>
      <w:pPr>
        <w:spacing w:after="0" w:line="238" w:lineRule="auto"/>
        <w:rPr>
          <w:sz w:val="20"/>
          <w:szCs w:val="20"/>
          <w:color w:val="auto"/>
        </w:rPr>
      </w:pPr>
      <w:r>
        <w:rPr>
          <w:rFonts w:ascii="Courier New" w:cs="Courier New" w:eastAsia="Courier New" w:hAnsi="Courier New"/>
          <w:sz w:val="18"/>
          <w:szCs w:val="18"/>
          <w:color w:val="auto"/>
        </w:rPr>
        <w:t>Smelter ID:</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Metalor USA Refining Corporation</w:t>
      </w:r>
    </w:p>
    <w:p>
      <w:pPr>
        <w:spacing w:after="0" w:line="238" w:lineRule="auto"/>
        <w:rPr>
          <w:sz w:val="20"/>
          <w:szCs w:val="20"/>
          <w:color w:val="auto"/>
        </w:rPr>
      </w:pPr>
      <w:r>
        <w:rPr>
          <w:rFonts w:ascii="Courier New" w:cs="Courier New" w:eastAsia="Courier New" w:hAnsi="Courier New"/>
          <w:sz w:val="18"/>
          <w:szCs w:val="18"/>
          <w:color w:val="auto"/>
        </w:rPr>
        <w:t>Smelter ID: CID001157</w:t>
      </w:r>
    </w:p>
    <w:p>
      <w:pPr>
        <w:sectPr>
          <w:pgSz w:w="11900" w:h="16838" w:orient="portrait"/>
          <w:cols w:equalWidth="0" w:num="1">
            <w:col w:w="10139"/>
          </w:cols>
          <w:pgMar w:left="32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8" w:lineRule="auto"/>
        <w:rPr>
          <w:sz w:val="20"/>
          <w:szCs w:val="20"/>
          <w:color w:val="auto"/>
        </w:rPr>
      </w:pPr>
      <w:r>
        <w:rPr>
          <w:rFonts w:ascii="Courier New" w:cs="Courier New" w:eastAsia="Courier New" w:hAnsi="Courier New"/>
          <w:sz w:val="18"/>
          <w:szCs w:val="18"/>
          <w:color w:val="auto"/>
        </w:rPr>
        <w:t>Smelter Location: 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Allgemeine Gold-und Silberscheideanstalt A.G.</w:t>
      </w:r>
    </w:p>
    <w:p>
      <w:pPr>
        <w:spacing w:after="0" w:line="238" w:lineRule="auto"/>
        <w:rPr>
          <w:sz w:val="20"/>
          <w:szCs w:val="20"/>
          <w:color w:val="auto"/>
        </w:rPr>
      </w:pPr>
      <w:r>
        <w:rPr>
          <w:rFonts w:ascii="Courier New" w:cs="Courier New" w:eastAsia="Courier New" w:hAnsi="Courier New"/>
          <w:sz w:val="18"/>
          <w:szCs w:val="18"/>
          <w:color w:val="auto"/>
        </w:rPr>
        <w:t>Smelter ID: CID000035</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AngloGold Ashanti Corrego do Sitio Mineracao</w:t>
      </w:r>
    </w:p>
    <w:p>
      <w:pPr>
        <w:spacing w:after="0" w:line="238" w:lineRule="auto"/>
        <w:rPr>
          <w:sz w:val="20"/>
          <w:szCs w:val="20"/>
          <w:color w:val="auto"/>
        </w:rPr>
      </w:pPr>
      <w:r>
        <w:rPr>
          <w:rFonts w:ascii="Courier New" w:cs="Courier New" w:eastAsia="Courier New" w:hAnsi="Courier New"/>
          <w:sz w:val="18"/>
          <w:szCs w:val="18"/>
          <w:color w:val="auto"/>
        </w:rPr>
        <w:t>Smelter ID: CID000058</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BRAZIL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Argor-Heraeus S.A.</w:t>
      </w:r>
    </w:p>
    <w:p>
      <w:pPr>
        <w:spacing w:after="0" w:line="238" w:lineRule="auto"/>
        <w:rPr>
          <w:sz w:val="20"/>
          <w:szCs w:val="20"/>
          <w:color w:val="auto"/>
        </w:rPr>
      </w:pPr>
      <w:r>
        <w:rPr>
          <w:rFonts w:ascii="Courier New" w:cs="Courier New" w:eastAsia="Courier New" w:hAnsi="Courier New"/>
          <w:sz w:val="18"/>
          <w:szCs w:val="18"/>
          <w:color w:val="auto"/>
        </w:rPr>
        <w:t>Smelter ID: CID000077</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SWITZERLAND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Aurubis AG</w:t>
      </w:r>
    </w:p>
    <w:p>
      <w:pPr>
        <w:spacing w:after="0" w:line="238" w:lineRule="auto"/>
        <w:rPr>
          <w:sz w:val="20"/>
          <w:szCs w:val="20"/>
          <w:color w:val="auto"/>
        </w:rPr>
      </w:pPr>
      <w:r>
        <w:rPr>
          <w:rFonts w:ascii="Courier New" w:cs="Courier New" w:eastAsia="Courier New" w:hAnsi="Courier New"/>
          <w:sz w:val="18"/>
          <w:szCs w:val="18"/>
          <w:color w:val="auto"/>
        </w:rPr>
        <w:t>Smelter ID: CID000113</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4"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Official Smelter Name: Bangko Sentral ng Pilipinas (Central Bank of the Philippines)</w:t>
      </w:r>
    </w:p>
    <w:p>
      <w:pPr>
        <w:spacing w:after="0"/>
        <w:rPr>
          <w:sz w:val="20"/>
          <w:szCs w:val="20"/>
          <w:color w:val="auto"/>
        </w:rPr>
      </w:pPr>
      <w:r>
        <w:rPr>
          <w:rFonts w:ascii="Courier New" w:cs="Courier New" w:eastAsia="Courier New" w:hAnsi="Courier New"/>
          <w:sz w:val="18"/>
          <w:szCs w:val="18"/>
          <w:color w:val="auto"/>
        </w:rPr>
        <w:t>Smelter ID: CID000128</w:t>
      </w:r>
    </w:p>
    <w:p>
      <w:pPr>
        <w:spacing w:after="0" w:line="238" w:lineRule="auto"/>
        <w:rPr>
          <w:sz w:val="20"/>
          <w:szCs w:val="20"/>
          <w:color w:val="auto"/>
        </w:rPr>
      </w:pPr>
      <w:r>
        <w:rPr>
          <w:rFonts w:ascii="Courier New" w:cs="Courier New" w:eastAsia="Courier New" w:hAnsi="Courier New"/>
          <w:sz w:val="18"/>
          <w:szCs w:val="18"/>
          <w:color w:val="auto"/>
        </w:rPr>
        <w:t>Conformant Smelter(2): Yes</w:t>
      </w:r>
    </w:p>
    <w:p>
      <w:pPr>
        <w:spacing w:after="0" w:line="238" w:lineRule="auto"/>
        <w:rPr>
          <w:sz w:val="20"/>
          <w:szCs w:val="20"/>
          <w:color w:val="auto"/>
        </w:rPr>
      </w:pPr>
      <w:r>
        <w:rPr>
          <w:rFonts w:ascii="Courier New" w:cs="Courier New" w:eastAsia="Courier New" w:hAnsi="Courier New"/>
          <w:sz w:val="18"/>
          <w:szCs w:val="18"/>
          <w:color w:val="auto"/>
        </w:rPr>
        <w:t>Smelter Location: PHILIPPINES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Boliden AB</w:t>
      </w:r>
    </w:p>
    <w:p>
      <w:pPr>
        <w:spacing w:after="0" w:line="238" w:lineRule="auto"/>
        <w:rPr>
          <w:sz w:val="20"/>
          <w:szCs w:val="20"/>
          <w:color w:val="auto"/>
        </w:rPr>
      </w:pPr>
      <w:r>
        <w:rPr>
          <w:rFonts w:ascii="Courier New" w:cs="Courier New" w:eastAsia="Courier New" w:hAnsi="Courier New"/>
          <w:sz w:val="18"/>
          <w:szCs w:val="18"/>
          <w:color w:val="auto"/>
        </w:rPr>
        <w:t>Smelter ID: CID000157</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SWEDEN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C. Hafner GmbH + Co. KG</w:t>
      </w:r>
    </w:p>
    <w:p>
      <w:pPr>
        <w:spacing w:after="0" w:line="238" w:lineRule="auto"/>
        <w:rPr>
          <w:sz w:val="20"/>
          <w:szCs w:val="20"/>
          <w:color w:val="auto"/>
        </w:rPr>
      </w:pPr>
      <w:r>
        <w:rPr>
          <w:rFonts w:ascii="Courier New" w:cs="Courier New" w:eastAsia="Courier New" w:hAnsi="Courier New"/>
          <w:sz w:val="18"/>
          <w:szCs w:val="18"/>
          <w:color w:val="auto"/>
        </w:rPr>
        <w:t>Smelter ID: CID000176</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Chimet S.p.A.</w:t>
      </w:r>
    </w:p>
    <w:p>
      <w:pPr>
        <w:spacing w:after="0" w:line="238" w:lineRule="auto"/>
        <w:rPr>
          <w:sz w:val="20"/>
          <w:szCs w:val="20"/>
          <w:color w:val="auto"/>
        </w:rPr>
      </w:pPr>
      <w:r>
        <w:rPr>
          <w:rFonts w:ascii="Courier New" w:cs="Courier New" w:eastAsia="Courier New" w:hAnsi="Courier New"/>
          <w:sz w:val="18"/>
          <w:szCs w:val="18"/>
          <w:color w:val="auto"/>
        </w:rPr>
        <w:t>Smelter ID: CID000233</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ITALY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Dowa</w:t>
      </w:r>
    </w:p>
    <w:p>
      <w:pPr>
        <w:spacing w:after="0" w:line="238" w:lineRule="auto"/>
        <w:rPr>
          <w:sz w:val="20"/>
          <w:szCs w:val="20"/>
          <w:color w:val="auto"/>
        </w:rPr>
      </w:pPr>
      <w:r>
        <w:rPr>
          <w:rFonts w:ascii="Courier New" w:cs="Courier New" w:eastAsia="Courier New" w:hAnsi="Courier New"/>
          <w:sz w:val="18"/>
          <w:szCs w:val="18"/>
          <w:color w:val="auto"/>
        </w:rPr>
        <w:t>Smelter ID: CID000401</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JAPAN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Heimerle + Meule GmbH</w:t>
      </w:r>
    </w:p>
    <w:p>
      <w:pPr>
        <w:spacing w:after="0" w:line="238" w:lineRule="auto"/>
        <w:rPr>
          <w:sz w:val="20"/>
          <w:szCs w:val="20"/>
          <w:color w:val="auto"/>
        </w:rPr>
      </w:pPr>
      <w:r>
        <w:rPr>
          <w:rFonts w:ascii="Courier New" w:cs="Courier New" w:eastAsia="Courier New" w:hAnsi="Courier New"/>
          <w:sz w:val="18"/>
          <w:szCs w:val="18"/>
          <w:color w:val="auto"/>
        </w:rPr>
        <w:t>Smelter ID: CID000694</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Heraeus Metals Hong Kong Ltd.</w:t>
      </w:r>
    </w:p>
    <w:p>
      <w:pPr>
        <w:spacing w:after="0" w:line="238" w:lineRule="auto"/>
        <w:rPr>
          <w:sz w:val="20"/>
          <w:szCs w:val="20"/>
          <w:color w:val="auto"/>
        </w:rPr>
      </w:pPr>
      <w:r>
        <w:rPr>
          <w:rFonts w:ascii="Courier New" w:cs="Courier New" w:eastAsia="Courier New" w:hAnsi="Courier New"/>
          <w:sz w:val="18"/>
          <w:szCs w:val="18"/>
          <w:color w:val="auto"/>
        </w:rPr>
        <w:t>Smelter ID: CID000707</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Heraeus Precious Metals GmbH &amp; Co. KG</w:t>
      </w:r>
    </w:p>
    <w:p>
      <w:pPr>
        <w:spacing w:after="0" w:line="238" w:lineRule="auto"/>
        <w:rPr>
          <w:sz w:val="20"/>
          <w:szCs w:val="20"/>
          <w:color w:val="auto"/>
        </w:rPr>
      </w:pPr>
      <w:r>
        <w:rPr>
          <w:rFonts w:ascii="Courier New" w:cs="Courier New" w:eastAsia="Courier New" w:hAnsi="Courier New"/>
          <w:sz w:val="18"/>
          <w:szCs w:val="18"/>
          <w:color w:val="auto"/>
        </w:rPr>
        <w:t>Smelter ID: CID000711</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GERMANY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Istanbul Gold Refinery</w:t>
      </w:r>
    </w:p>
    <w:p>
      <w:pPr>
        <w:spacing w:after="0" w:line="238" w:lineRule="auto"/>
        <w:rPr>
          <w:sz w:val="20"/>
          <w:szCs w:val="20"/>
          <w:color w:val="auto"/>
        </w:rPr>
      </w:pPr>
      <w:r>
        <w:rPr>
          <w:rFonts w:ascii="Courier New" w:cs="Courier New" w:eastAsia="Courier New" w:hAnsi="Courier New"/>
          <w:sz w:val="18"/>
          <w:szCs w:val="18"/>
          <w:color w:val="auto"/>
        </w:rPr>
        <w:t>Smelter ID: CID000814</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TURKEY</w:t>
      </w:r>
    </w:p>
    <w:p>
      <w:pPr>
        <w:sectPr>
          <w:pgSz w:w="11900" w:h="16838" w:orient="portrait"/>
          <w:cols w:equalWidth="0" w:num="1">
            <w:col w:w="10139"/>
          </w:cols>
          <w:pgMar w:left="32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Asahi Refining USA Inc.</w:t>
      </w:r>
    </w:p>
    <w:p>
      <w:pPr>
        <w:spacing w:after="0" w:line="238" w:lineRule="auto"/>
        <w:rPr>
          <w:sz w:val="20"/>
          <w:szCs w:val="20"/>
          <w:color w:val="auto"/>
        </w:rPr>
      </w:pPr>
      <w:r>
        <w:rPr>
          <w:rFonts w:ascii="Courier New" w:cs="Courier New" w:eastAsia="Courier New" w:hAnsi="Courier New"/>
          <w:sz w:val="18"/>
          <w:szCs w:val="18"/>
          <w:color w:val="auto"/>
        </w:rPr>
        <w:t>Smelter ID: CID000920</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Asahi Refining Canada Ltd.</w:t>
      </w:r>
    </w:p>
    <w:p>
      <w:pPr>
        <w:spacing w:after="0" w:line="238" w:lineRule="auto"/>
        <w:rPr>
          <w:sz w:val="20"/>
          <w:szCs w:val="20"/>
          <w:color w:val="auto"/>
        </w:rPr>
      </w:pPr>
      <w:r>
        <w:rPr>
          <w:rFonts w:ascii="Courier New" w:cs="Courier New" w:eastAsia="Courier New" w:hAnsi="Courier New"/>
          <w:sz w:val="18"/>
          <w:szCs w:val="18"/>
          <w:color w:val="auto"/>
        </w:rPr>
        <w:t>Smelter ID: CID000924</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CANADA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Kennecott Utah Copper LLC</w:t>
      </w:r>
    </w:p>
    <w:p>
      <w:pPr>
        <w:spacing w:after="0" w:line="238" w:lineRule="auto"/>
        <w:rPr>
          <w:sz w:val="20"/>
          <w:szCs w:val="20"/>
          <w:color w:val="auto"/>
        </w:rPr>
      </w:pPr>
      <w:r>
        <w:rPr>
          <w:rFonts w:ascii="Courier New" w:cs="Courier New" w:eastAsia="Courier New" w:hAnsi="Courier New"/>
          <w:sz w:val="18"/>
          <w:szCs w:val="18"/>
          <w:color w:val="auto"/>
        </w:rPr>
        <w:t>Smelter ID: CID000969</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Metalor Technologies (Hong Kong) Ltd.</w:t>
      </w:r>
    </w:p>
    <w:p>
      <w:pPr>
        <w:spacing w:after="0" w:line="238" w:lineRule="auto"/>
        <w:rPr>
          <w:sz w:val="20"/>
          <w:szCs w:val="20"/>
          <w:color w:val="auto"/>
        </w:rPr>
      </w:pPr>
      <w:r>
        <w:rPr>
          <w:rFonts w:ascii="Courier New" w:cs="Courier New" w:eastAsia="Courier New" w:hAnsi="Courier New"/>
          <w:sz w:val="18"/>
          <w:szCs w:val="18"/>
          <w:color w:val="auto"/>
        </w:rPr>
        <w:t>Smelter ID: CID001149</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Metalor Technologies S.A.</w:t>
      </w:r>
    </w:p>
    <w:p>
      <w:pPr>
        <w:spacing w:after="0" w:line="238" w:lineRule="auto"/>
        <w:rPr>
          <w:sz w:val="20"/>
          <w:szCs w:val="20"/>
          <w:color w:val="auto"/>
        </w:rPr>
      </w:pPr>
      <w:r>
        <w:rPr>
          <w:rFonts w:ascii="Courier New" w:cs="Courier New" w:eastAsia="Courier New" w:hAnsi="Courier New"/>
          <w:sz w:val="18"/>
          <w:szCs w:val="18"/>
          <w:color w:val="auto"/>
        </w:rPr>
        <w:t>Smelter ID: CID001153</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SWITZERLAND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PAMP S.A.</w:t>
      </w:r>
    </w:p>
    <w:p>
      <w:pPr>
        <w:spacing w:after="0" w:line="238" w:lineRule="auto"/>
        <w:rPr>
          <w:sz w:val="20"/>
          <w:szCs w:val="20"/>
          <w:color w:val="auto"/>
        </w:rPr>
      </w:pPr>
      <w:r>
        <w:rPr>
          <w:rFonts w:ascii="Courier New" w:cs="Courier New" w:eastAsia="Courier New" w:hAnsi="Courier New"/>
          <w:sz w:val="18"/>
          <w:szCs w:val="18"/>
          <w:color w:val="auto"/>
        </w:rPr>
        <w:t>Smelter ID: CID001352</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SWITZERLAND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Royal Canadian Mint</w:t>
      </w:r>
    </w:p>
    <w:p>
      <w:pPr>
        <w:spacing w:after="0" w:line="238" w:lineRule="auto"/>
        <w:rPr>
          <w:sz w:val="20"/>
          <w:szCs w:val="20"/>
          <w:color w:val="auto"/>
        </w:rPr>
      </w:pPr>
      <w:r>
        <w:rPr>
          <w:rFonts w:ascii="Courier New" w:cs="Courier New" w:eastAsia="Courier New" w:hAnsi="Courier New"/>
          <w:sz w:val="18"/>
          <w:szCs w:val="18"/>
          <w:color w:val="auto"/>
        </w:rPr>
        <w:t>Smelter ID: CID001534</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CANADA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Shandong Zhaojin Gold &amp; Silver Refinery Co., Ltd.</w:t>
      </w:r>
    </w:p>
    <w:p>
      <w:pPr>
        <w:spacing w:after="0" w:line="238" w:lineRule="auto"/>
        <w:rPr>
          <w:sz w:val="20"/>
          <w:szCs w:val="20"/>
          <w:color w:val="auto"/>
        </w:rPr>
      </w:pPr>
      <w:r>
        <w:rPr>
          <w:rFonts w:ascii="Courier New" w:cs="Courier New" w:eastAsia="Courier New" w:hAnsi="Courier New"/>
          <w:sz w:val="18"/>
          <w:szCs w:val="18"/>
          <w:color w:val="auto"/>
        </w:rPr>
        <w:t>Smelter ID: CID001622</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Tanaka Kikinzoku Kogyo K.K.</w:t>
      </w:r>
    </w:p>
    <w:p>
      <w:pPr>
        <w:spacing w:after="0" w:line="238" w:lineRule="auto"/>
        <w:rPr>
          <w:sz w:val="20"/>
          <w:szCs w:val="20"/>
          <w:color w:val="auto"/>
        </w:rPr>
      </w:pPr>
      <w:r>
        <w:rPr>
          <w:rFonts w:ascii="Courier New" w:cs="Courier New" w:eastAsia="Courier New" w:hAnsi="Courier New"/>
          <w:sz w:val="18"/>
          <w:szCs w:val="18"/>
          <w:color w:val="auto"/>
        </w:rPr>
        <w:t>Smelter ID: CID001875</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JAPAN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Official Smelter Name: Umicore S.A. Business Unit Precious Metals Refining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Smelter ID: CID001980</w:t>
      </w:r>
    </w:p>
    <w:p>
      <w:pPr>
        <w:spacing w:after="0" w:line="238" w:lineRule="auto"/>
        <w:rPr>
          <w:sz w:val="20"/>
          <w:szCs w:val="20"/>
          <w:color w:val="auto"/>
        </w:rPr>
      </w:pPr>
      <w:r>
        <w:rPr>
          <w:rFonts w:ascii="Courier New" w:cs="Courier New" w:eastAsia="Courier New" w:hAnsi="Courier New"/>
          <w:sz w:val="18"/>
          <w:szCs w:val="18"/>
          <w:color w:val="auto"/>
        </w:rPr>
        <w:t>Conformant Smelter(2): Yes</w:t>
      </w:r>
    </w:p>
    <w:p>
      <w:pPr>
        <w:spacing w:after="0" w:line="238" w:lineRule="auto"/>
        <w:rPr>
          <w:sz w:val="20"/>
          <w:szCs w:val="20"/>
          <w:color w:val="auto"/>
        </w:rPr>
      </w:pPr>
      <w:r>
        <w:rPr>
          <w:rFonts w:ascii="Courier New" w:cs="Courier New" w:eastAsia="Courier New" w:hAnsi="Courier New"/>
          <w:sz w:val="18"/>
          <w:szCs w:val="18"/>
          <w:color w:val="auto"/>
        </w:rPr>
        <w:t>Smelter Location: BELGIUM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Metalor Technologies (Singapore) Pte., Ltd.</w:t>
      </w:r>
    </w:p>
    <w:p>
      <w:pPr>
        <w:spacing w:after="0" w:line="238" w:lineRule="auto"/>
        <w:rPr>
          <w:sz w:val="20"/>
          <w:szCs w:val="20"/>
          <w:color w:val="auto"/>
        </w:rPr>
      </w:pPr>
      <w:r>
        <w:rPr>
          <w:rFonts w:ascii="Courier New" w:cs="Courier New" w:eastAsia="Courier New" w:hAnsi="Courier New"/>
          <w:sz w:val="18"/>
          <w:szCs w:val="18"/>
          <w:color w:val="auto"/>
        </w:rPr>
        <w:t>Smelter ID: CID001152</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SINGAPORE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Metalor Technologies (Suzhou) Ltd.</w:t>
      </w:r>
    </w:p>
    <w:p>
      <w:pPr>
        <w:spacing w:after="0" w:line="238" w:lineRule="auto"/>
        <w:rPr>
          <w:sz w:val="20"/>
          <w:szCs w:val="20"/>
          <w:color w:val="auto"/>
        </w:rPr>
      </w:pPr>
      <w:r>
        <w:rPr>
          <w:rFonts w:ascii="Courier New" w:cs="Courier New" w:eastAsia="Courier New" w:hAnsi="Courier New"/>
          <w:sz w:val="18"/>
          <w:szCs w:val="18"/>
          <w:color w:val="auto"/>
        </w:rPr>
        <w:t>Smelter ID: CID001147</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Gold</w:t>
      </w:r>
    </w:p>
    <w:p>
      <w:pPr>
        <w:spacing w:after="0" w:line="238" w:lineRule="auto"/>
        <w:rPr>
          <w:sz w:val="20"/>
          <w:szCs w:val="20"/>
          <w:color w:val="auto"/>
        </w:rPr>
      </w:pPr>
      <w:r>
        <w:rPr>
          <w:rFonts w:ascii="Courier New" w:cs="Courier New" w:eastAsia="Courier New" w:hAnsi="Courier New"/>
          <w:sz w:val="18"/>
          <w:szCs w:val="18"/>
          <w:color w:val="auto"/>
        </w:rPr>
        <w:t>Official Smelter Name: United Precious Metal Refining, Inc.</w:t>
      </w:r>
    </w:p>
    <w:p>
      <w:pPr>
        <w:spacing w:after="0" w:line="238" w:lineRule="auto"/>
        <w:rPr>
          <w:sz w:val="20"/>
          <w:szCs w:val="20"/>
          <w:color w:val="auto"/>
        </w:rPr>
      </w:pPr>
      <w:r>
        <w:rPr>
          <w:rFonts w:ascii="Courier New" w:cs="Courier New" w:eastAsia="Courier New" w:hAnsi="Courier New"/>
          <w:sz w:val="18"/>
          <w:szCs w:val="18"/>
          <w:color w:val="auto"/>
        </w:rPr>
        <w:t>Smelter ID: CID001993</w:t>
      </w:r>
    </w:p>
    <w:p>
      <w:pPr>
        <w:spacing w:after="0"/>
        <w:rPr>
          <w:sz w:val="20"/>
          <w:szCs w:val="20"/>
          <w:color w:val="auto"/>
        </w:rPr>
      </w:pPr>
      <w:r>
        <w:rPr>
          <w:rFonts w:ascii="Courier New" w:cs="Courier New" w:eastAsia="Courier New" w:hAnsi="Courier New"/>
          <w:sz w:val="18"/>
          <w:szCs w:val="18"/>
          <w:color w:val="auto"/>
        </w:rPr>
        <w:t>Conformant Smelter(2): Yes</w:t>
      </w:r>
    </w:p>
    <w:p>
      <w:pPr>
        <w:spacing w:after="0" w:line="237" w:lineRule="auto"/>
        <w:rPr>
          <w:sz w:val="20"/>
          <w:szCs w:val="20"/>
          <w:color w:val="auto"/>
        </w:rPr>
      </w:pPr>
      <w:r>
        <w:rPr>
          <w:rFonts w:ascii="Courier New" w:cs="Courier New" w:eastAsia="Courier New" w:hAnsi="Courier New"/>
          <w:sz w:val="18"/>
          <w:szCs w:val="18"/>
          <w:color w:val="auto"/>
        </w:rPr>
        <w:t>Smelter Location: 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Metal: Tungsten</w:t>
      </w:r>
    </w:p>
    <w:p>
      <w:pPr>
        <w:spacing w:after="0" w:line="238" w:lineRule="auto"/>
        <w:rPr>
          <w:sz w:val="20"/>
          <w:szCs w:val="20"/>
          <w:color w:val="auto"/>
        </w:rPr>
      </w:pPr>
      <w:r>
        <w:rPr>
          <w:rFonts w:ascii="Courier New" w:cs="Courier New" w:eastAsia="Courier New" w:hAnsi="Courier New"/>
          <w:sz w:val="18"/>
          <w:szCs w:val="18"/>
          <w:color w:val="auto"/>
        </w:rPr>
        <w:t>Official Smelter Name: Zhuzhou Cemented Carbide Group Co. Ltd.</w:t>
      </w:r>
    </w:p>
    <w:p>
      <w:pPr>
        <w:sectPr>
          <w:pgSz w:w="11900" w:h="16838" w:orient="portrait"/>
          <w:cols w:equalWidth="0" w:num="1">
            <w:col w:w="10139"/>
          </w:cols>
          <w:pgMar w:left="32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Smelter ID: CID002236</w:t>
      </w:r>
    </w:p>
    <w:p>
      <w:pPr>
        <w:spacing w:after="0" w:line="238" w:lineRule="auto"/>
        <w:rPr>
          <w:sz w:val="20"/>
          <w:szCs w:val="20"/>
          <w:color w:val="auto"/>
        </w:rPr>
      </w:pPr>
      <w:r>
        <w:rPr>
          <w:rFonts w:ascii="Courier New" w:cs="Courier New" w:eastAsia="Courier New" w:hAnsi="Courier New"/>
          <w:sz w:val="18"/>
          <w:szCs w:val="18"/>
          <w:color w:val="auto"/>
        </w:rPr>
        <w:t>Conformant Smelter(2): No</w:t>
      </w:r>
    </w:p>
    <w:p>
      <w:pPr>
        <w:spacing w:after="0" w:line="238" w:lineRule="auto"/>
        <w:rPr>
          <w:sz w:val="20"/>
          <w:szCs w:val="20"/>
          <w:color w:val="auto"/>
        </w:rPr>
      </w:pPr>
      <w:r>
        <w:rPr>
          <w:rFonts w:ascii="Courier New" w:cs="Courier New" w:eastAsia="Courier New" w:hAnsi="Courier New"/>
          <w:sz w:val="18"/>
          <w:szCs w:val="18"/>
          <w:color w:val="auto"/>
        </w:rPr>
        <w:t>Smelter Location: CHINA</w:t>
      </w:r>
    </w:p>
    <w:p>
      <w:pPr>
        <w:spacing w:after="0" w:line="207" w:lineRule="exact"/>
        <w:rPr>
          <w:sz w:val="20"/>
          <w:szCs w:val="20"/>
          <w:color w:val="auto"/>
        </w:rPr>
      </w:pPr>
    </w:p>
    <w:p>
      <w:pPr>
        <w:ind w:right="201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Conformant refers to tin facilities that are listed by RMI as of May 2022 as conformant with RMAP protocols or certified or accredited by a similar independent assessment program cross-recognized by RMAP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Steps to Improve Due Diligence</w:t>
      </w:r>
    </w:p>
    <w:p>
      <w:pPr>
        <w:spacing w:after="0" w:line="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Quaker Houghton and SIFCO will continue to conduct supplier diligence regarding 3TG and will monitor their products and components to identify new products or components that may include any 3TG. Quaker Houghton and SIFCO will continue to monitor their supply chains to identify any new suppliers and to bring such suppliers within the scope of their conflict minerals programs. Quaker Houghton and SIFCO will maintain open lines of communication with their suppliers, so they are notified promptly if there are any changes in the source of the 3TG supplied to Quaker Houghton or SIFCO.</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19"/>
        <w:spacing w:after="0" w:line="269" w:lineRule="auto"/>
        <w:rPr>
          <w:sz w:val="20"/>
          <w:szCs w:val="20"/>
          <w:color w:val="auto"/>
        </w:rPr>
      </w:pPr>
      <w:r>
        <w:rPr>
          <w:rFonts w:ascii="Courier New" w:cs="Courier New" w:eastAsia="Courier New" w:hAnsi="Courier New"/>
          <w:sz w:val="16"/>
          <w:szCs w:val="16"/>
          <w:color w:val="auto"/>
        </w:rPr>
        <w:t>This Conflict Minerals Report includes "forward-looking statements" within the meaning of Section 21E of the Securities Exchange Act of 1934, as amended, and Section 27A of the Securities Act of 1933, as amended, and such forward-looking statements involve risks and uncertainties. These forward-looking statements include, but are not limited to, statements relating to the Company's intention to enhance its efforts to obtain from its suppliers complete, correct, and trustworthy information regarding the sources of the conflict minerals used in the Company's products. These statements are subject to various risks, uncertainties and other factors, including, among other matters, the Company's suppliers' responsiveness and cooperation with the Company's due diligence efforts, the Company's ability to identify and mitigate risks in its supply chain, whether smelters and refiners and other market participants responsibly source conflict minerals, political and regulatory developments in the Covered Countries, the United States or elsewhere, and whether industry organizations and initiatives remain effective as a source of external guidance and support to us in the conflict minerals compliance process. Forward-looking statements are based on management's current views, beliefs and expectations of future events based on certain assumptions. Forward-looking statements are not guarantees of future performance. We assume no obligation to revise or update any forward-looking statements for any reason, except as required by law.</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2022-05-31T15:41:03Z</dcterms:created>
  <dcterms:modified xsi:type="dcterms:W3CDTF">2022-05-31T15:41:03Z</dcterms:modified>
</cp:coreProperties>
</file>