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30, 2003</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QUAKER CHEMICAL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0-7154</w:t>
      </w:r>
    </w:p>
    <w:p>
      <w:pPr>
        <w:sectPr>
          <w:pgSz w:w="11900" w:h="16838" w:orient="portrait"/>
          <w:cols w:equalWidth="0" w:num="1">
            <w:col w:w="10219"/>
          </w:cols>
          <w:pgMar w:left="240" w:top="250" w:right="1440" w:bottom="1440"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No. 23-0993790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300" w:space="720"/>
            <w:col w:w="4199"/>
          </w:cols>
          <w:pgMar w:left="240" w:top="250" w:right="1440" w:bottom="1440" w:gutter="0" w:footer="0" w:header="0"/>
          <w:type w:val="continuous"/>
        </w:sectPr>
      </w:pPr>
    </w:p>
    <w:p>
      <w:pPr>
        <w:spacing w:after="0" w:line="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One Quaker Park</w:t>
      </w:r>
    </w:p>
    <w:p>
      <w:pPr>
        <w:ind w:left="3380"/>
        <w:spacing w:after="0" w:line="238" w:lineRule="auto"/>
        <w:rPr>
          <w:sz w:val="20"/>
          <w:szCs w:val="20"/>
          <w:color w:val="auto"/>
        </w:rPr>
      </w:pPr>
      <w:r>
        <w:rPr>
          <w:rFonts w:ascii="Courier New" w:cs="Courier New" w:eastAsia="Courier New" w:hAnsi="Courier New"/>
          <w:sz w:val="18"/>
          <w:szCs w:val="18"/>
          <w:color w:val="auto"/>
        </w:rPr>
        <w:t>901 Hector Street</w:t>
      </w:r>
    </w:p>
    <w:p>
      <w:pPr>
        <w:ind w:left="2540"/>
        <w:spacing w:after="0"/>
        <w:rPr>
          <w:sz w:val="20"/>
          <w:szCs w:val="20"/>
          <w:color w:val="auto"/>
        </w:rPr>
      </w:pPr>
      <w:r>
        <w:rPr>
          <w:rFonts w:ascii="Courier New" w:cs="Courier New" w:eastAsia="Courier New" w:hAnsi="Courier New"/>
          <w:sz w:val="18"/>
          <w:szCs w:val="18"/>
          <w:color w:val="auto"/>
        </w:rPr>
        <w:t>Conshohocken, Pennsylvania 19428</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700"/>
        <w:spacing w:after="0" w:line="238"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(610) 832-4000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TO BE INCLUDED IN THE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following exhibit is filed as part of this report: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Exhibit No.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000" w:right="2939" w:hanging="1369"/>
        <w:spacing w:after="0" w:line="235" w:lineRule="auto"/>
        <w:tabs>
          <w:tab w:leader="none" w:pos="19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Quaker Chemical Corporation dated October 30, 2003</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On October 30, 2003, Quaker Chemical Corporation announced its results of operations for the third quarter ended September 30, 2003 in a press release, the text of which is included as Exhibit 99.1 hereto.</w:t>
      </w: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50"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QUAKER CHEMICAL CORPORATION</w:t>
      </w:r>
    </w:p>
    <w:p>
      <w:pPr>
        <w:ind w:left="45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 October 30, 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Michael F. Barry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 and</w:t>
      </w:r>
    </w:p>
    <w:p>
      <w:pPr>
        <w:ind w:left="3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3820" w:space="720"/>
            <w:col w:w="320" w:space="100"/>
            <w:col w:w="5259"/>
          </w:cols>
          <w:pgMar w:left="240" w:top="717" w:right="1440" w:bottom="1440" w:gutter="0" w:footer="0" w:header="0"/>
          <w:type w:val="continuous"/>
        </w:sect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[LOGO] Quaker</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6"/>
          <w:szCs w:val="16"/>
          <w:color w:val="auto"/>
        </w:rPr>
        <w:t>For Release:</w:t>
      </w:r>
    </w:p>
    <w:p>
      <w:pPr>
        <w:spacing w:after="0" w:line="16" w:lineRule="exact"/>
        <w:rPr>
          <w:sz w:val="20"/>
          <w:szCs w:val="20"/>
          <w:color w:val="auto"/>
        </w:rPr>
      </w:pPr>
    </w:p>
    <w:p>
      <w:pPr>
        <w:jc w:val="right"/>
        <w:ind w:right="1800"/>
        <w:spacing w:after="0"/>
        <w:rPr>
          <w:sz w:val="20"/>
          <w:szCs w:val="20"/>
          <w:color w:val="auto"/>
        </w:rPr>
      </w:pPr>
      <w:r>
        <w:rPr>
          <w:rFonts w:ascii="Courier New" w:cs="Courier New" w:eastAsia="Courier New" w:hAnsi="Courier New"/>
          <w:sz w:val="18"/>
          <w:szCs w:val="18"/>
          <w:color w:val="auto"/>
        </w:rPr>
        <w:t>Immediate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ind w:left="320"/>
        <w:spacing w:after="0" w:line="238" w:lineRule="auto"/>
        <w:rPr>
          <w:sz w:val="20"/>
          <w:szCs w:val="20"/>
          <w:color w:val="auto"/>
        </w:rPr>
      </w:pPr>
      <w:r>
        <w:rPr>
          <w:rFonts w:ascii="Courier New" w:cs="Courier New" w:eastAsia="Courier New" w:hAnsi="Courier New"/>
          <w:sz w:val="18"/>
          <w:szCs w:val="18"/>
          <w:color w:val="auto"/>
        </w:rPr>
        <w:t>Michael F. Barry</w:t>
      </w:r>
    </w:p>
    <w:p>
      <w:pPr>
        <w:ind w:left="320"/>
        <w:spacing w:after="0"/>
        <w:rPr>
          <w:sz w:val="20"/>
          <w:szCs w:val="20"/>
          <w:color w:val="auto"/>
        </w:rPr>
      </w:pPr>
      <w:r>
        <w:rPr>
          <w:rFonts w:ascii="Courier New" w:cs="Courier New" w:eastAsia="Courier New" w:hAnsi="Courier New"/>
          <w:sz w:val="18"/>
          <w:szCs w:val="18"/>
          <w:color w:val="auto"/>
        </w:rPr>
        <w:t>Vice President and</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610/832-8500</w:t>
      </w:r>
    </w:p>
    <w:p>
      <w:pPr>
        <w:spacing w:after="0" w:line="200" w:lineRule="exact"/>
        <w:rPr>
          <w:sz w:val="20"/>
          <w:szCs w:val="20"/>
          <w:color w:val="auto"/>
        </w:rPr>
      </w:pPr>
    </w:p>
    <w:p>
      <w:pPr>
        <w:sectPr>
          <w:pgSz w:w="11900" w:h="16838" w:orient="portrait"/>
          <w:cols w:equalWidth="0" w:num="3">
            <w:col w:w="3080" w:space="720"/>
            <w:col w:w="1180" w:space="720"/>
            <w:col w:w="4519"/>
          </w:cols>
          <w:pgMar w:left="240" w:top="142" w:right="1440" w:bottom="0" w:gutter="0" w:footer="0" w:header="0"/>
          <w:type w:val="continuous"/>
        </w:sectPr>
      </w:pPr>
    </w:p>
    <w:p>
      <w:pPr>
        <w:spacing w:after="0" w:line="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Quaker Chemical Announces Record Quarterly 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30, 2003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CONSHOHOCKEN, PA -- For its third quarter, Quaker Chemical Corporation (NYSE: KWR) today announced record quarterly sales of $89.7 million and earnings per diluted share of $0.42, a 17% increase over the second quarter of 2003 earnings per diluted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Summary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for the third quarter was $4.1 million versus $4.3 million for the third quarter of 2002, or $0.42 per diluted share versus $0.45 per diluted share in the prior year period. On a sequential basis, third quarter net income increased 19% over the second quarter's net income of $3.5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for the third quarter were a record $89.7 million, up 22% from $73.3</w:t>
      </w:r>
    </w:p>
    <w:p>
      <w:pPr>
        <w:spacing w:after="0" w:line="238" w:lineRule="auto"/>
        <w:rPr>
          <w:sz w:val="20"/>
          <w:szCs w:val="20"/>
          <w:color w:val="auto"/>
        </w:rPr>
      </w:pPr>
      <w:r>
        <w:rPr>
          <w:rFonts w:ascii="Courier New" w:cs="Courier New" w:eastAsia="Courier New" w:hAnsi="Courier New"/>
          <w:sz w:val="18"/>
          <w:szCs w:val="18"/>
          <w:color w:val="auto"/>
        </w:rPr>
        <w:t>million for the third quarter 2002. Foreign exchange rate translation and the</w:t>
      </w:r>
    </w:p>
    <w:p>
      <w:pPr>
        <w:spacing w:after="0"/>
        <w:rPr>
          <w:sz w:val="20"/>
          <w:szCs w:val="20"/>
          <w:color w:val="auto"/>
        </w:rPr>
      </w:pPr>
      <w:r>
        <w:rPr>
          <w:rFonts w:ascii="Courier New" w:cs="Courier New" w:eastAsia="Courier New" w:hAnsi="Courier New"/>
          <w:sz w:val="18"/>
          <w:szCs w:val="18"/>
          <w:color w:val="auto"/>
        </w:rPr>
        <w:t>Company's 2003 acquisitions favorably impacted net sales by $4.8 million and</w:t>
      </w:r>
    </w:p>
    <w:p>
      <w:pPr>
        <w:spacing w:after="0" w:line="237" w:lineRule="auto"/>
        <w:rPr>
          <w:sz w:val="20"/>
          <w:szCs w:val="20"/>
          <w:color w:val="auto"/>
        </w:rPr>
      </w:pPr>
      <w:r>
        <w:rPr>
          <w:rFonts w:ascii="Courier New" w:cs="Courier New" w:eastAsia="Courier New" w:hAnsi="Courier New"/>
          <w:sz w:val="18"/>
          <w:szCs w:val="18"/>
          <w:color w:val="auto"/>
        </w:rPr>
        <w:t>$1.3 million, respectively. Third quarter sales also include approximately $9.7</w:t>
      </w:r>
    </w:p>
    <w:p>
      <w:pPr>
        <w:spacing w:after="0" w:line="238" w:lineRule="auto"/>
        <w:rPr>
          <w:sz w:val="20"/>
          <w:szCs w:val="20"/>
          <w:color w:val="auto"/>
        </w:rPr>
      </w:pPr>
      <w:r>
        <w:rPr>
          <w:rFonts w:ascii="Courier New" w:cs="Courier New" w:eastAsia="Courier New" w:hAnsi="Courier New"/>
          <w:sz w:val="18"/>
          <w:szCs w:val="18"/>
          <w:color w:val="auto"/>
        </w:rPr>
        <w:t>million from the Company's recently awarded chemical management services (CMS)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 which were effective May 1, 2003. The remaining part of the net sales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of approximately 1% is primarily due to double-digit growth in the Asia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 and South America regions offset by a decline in business in the U.S.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Gross margin as a percentage of sales declined from 40.1% for the third quarter of 2002 to 34.3% for the third quarter of 2003. As previously disclosed, the Company's new CMS contracts have caused different relationships between margins and revenue than in the past. At the majority of current CMS sites, the Company effectively acts as an agent and records revenue and costs from these sales on a net sales or "pass-through" basis. The new CMS contracts have a different structure, which results in the Company recognizing in reported revenue the gross revenue received from the CMS site customer and in cost of goods sold, the third party product purchases, which substantially offset each other. The negative impact to gross margin for the third quarter related to the new CMS contracts is approximately 4 percentage points. The remaining decline in gross margin as a percentage of sales is due to increased raw material costs, as well as product and regional sales mix. The Company continues to expect raw material prices to remain at these levels in the near term due to sustained high oil prices.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quarter increased $1.8 million or 8% compared to the third quarter of 2002. Approximately $1.4 million of the increase is due to foreign exchange rates and the Company's 2003 acquisitions. Increases in other expenses, including pension and the Company's continued rollout of its global ERP system, were largely offset by reduced incentive compensation expense.</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Other income was lower primarily due to foreign exchange gains in 2002 as a result of the weakening of the Brazilian real and its impact on the U.S. dollar denominated cash balances in Brazil.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year-to-date effective tax rate was reduced to 30% in the third quarter primarily due to the Company's favorable settlement of several outstanding tax audits and appeal issues.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Ronald J. Naples, Chairman and Chief Executive Officer, stated, "Though our overall earnings level is consistent with our previous guidance, we continue to see softer than expected demand for our products and services to the steel industry in the U.S. and Europe. In the third quarter, this was somewhat offset by significant growth in our Brazilian and South American markets, lower overall tax rates, and lower incentive compensation. In addition, we continue to be negatively impacted by higher raw material prices primarily due to continued high crude oil prices."</w:t>
      </w:r>
    </w:p>
    <w:p>
      <w:pPr>
        <w:spacing w:after="0" w:line="212"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Mr. Naples continued, "While we continue to see short-term challenges in front of us, we are also making significant strides with our key strategic initiatives. In 2003, we have now made three tight-fit acquisitions, including</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the recently announced acquisition of the Cincinnati-Vulcan steel business. All of these acquisitions bring key customer relationships and product technology, enabling us to enhance our already strong market positions. In addition, all three are expected to be slightly accretive to earnings in the short term and more significant profit contributors longer term. Also, we continue to grow our CMS business and have recently been awarded another two major auto CMS sites that are in addition to the seven new sites we started up in May. And finally, during the last 12 months we have implemented our global ERP system at four of our largest sites in Holland, Spain, and the U.S. We believe all of the above initiatives are key steps in helping us achieve our longer-term business strategies."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Year-to-Date Summary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Net income for the first nine months of the year was $10.7 million versus $9.9 million in the first nine months of 2002. Earnings per diluted share increased 6% to $1.11 versus $1.05 in the first nine months of 2002.</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for the first nine months of the year increased to $246.5 million, up 22% from $202.7 million for the first nine months of 2002. Foreign exchange rate translation and timing of the Company's 2002 and 2003 acquisitions favorably impacted net sales by $11.1 million and $9.5 million, respectively. Net sales for the first nine months of the year also include approximately $17.1 million from the Company's new CMS contracts. The remaining part of the net sales increase of approximately 3% is primarily due to double-digit growth in the Asia Pacific and South America regions offset by a decline in business in the U.S.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margin as a percentage of sales declined from 40.8% for the first nine months of 2002 to 35.7% for the first nine months of 2003. The Company's new CMS contracts negatively impacted gross margin for the first nine months of 2003 by approximately 3 percentage points with the remaining decline due to increased raw material costs, as well as product and regional sales mix.</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first nine months of 2003 increased $4.4 million from the first nine months of 2002. $4.3 million of the increase is due to foreign exchange rates and the Company's acquisitions. The remainder of the increase is primarily due to higher pension costs and the Company's continued implementation of its global ERP system partially offset by reduced incentive compensation expense.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and Cash Flow items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debt to total capital ratio remains strong at 31% at the end of September, 2003 compared to 25% at the end of 2002 and 35% at the end of September, 2002. As of the end of September 2003, the Company had approximately $26 million outstanding on its credit lines, which have a maximum borrowing capacity of $50 million.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disclosed, the Company received $4.2 million of priority cash distributions from its real estate joint venture in the first half of 2003. In addition, the higher accounts receivable at the end of September 2003 is primarily due to the increased sales attributable to the Company's new CMS contracts, foreign exchange rate changes and higher sales volumes.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Mr. Naples stated, "We do expect to see some pickup in business volumes in the fourth quarter primarily due to market share gains. However, this expectation is tempered by what we still see as significant demand uncertainty in many of our key markets for the fourth quarter as well as into next year. For example, we are getting signals that some of our customers may take longer than normal shutdowns in December. While our visibility is not clear, the net of all this is that we continue to estimate that our fourth quarter earnings will be similar to the third quarter. Despite the near-term struggles for earnings growth, we are confident that the strategic steps we have taken this year, as well as our strong balance sheet and dividend yield, put us in an excellent long-term position to continue to build our business, and hence, enable us to continue to create significant long-term value for both our customers and shareholders."</w:t>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Quaker Chemical Corporation, headquartered in Conshohocken, Pennsylvania, is a worldwide developer, producer, and marketer of custom-formulated chemical specialty products and a provider of chemical management services for manufacturers around the globe, primarily in the steel and automotive industries.</w:t>
      </w:r>
    </w:p>
    <w:p>
      <w:pPr>
        <w:spacing w:after="0" w:line="209" w:lineRule="exact"/>
        <w:rPr>
          <w:sz w:val="20"/>
          <w:szCs w:val="20"/>
          <w:color w:val="auto"/>
        </w:rPr>
      </w:pPr>
    </w:p>
    <w:p>
      <w:pPr>
        <w:jc w:val="both"/>
        <w:ind w:right="2199"/>
        <w:spacing w:after="0" w:line="279" w:lineRule="auto"/>
        <w:rPr>
          <w:sz w:val="20"/>
          <w:szCs w:val="20"/>
          <w:color w:val="auto"/>
        </w:rPr>
      </w:pPr>
      <w:r>
        <w:rPr>
          <w:rFonts w:ascii="Courier New" w:cs="Courier New" w:eastAsia="Courier New" w:hAnsi="Courier New"/>
          <w:sz w:val="16"/>
          <w:szCs w:val="16"/>
          <w:color w:val="auto"/>
        </w:rPr>
        <w:t>This release contains forward-looking statements that are subject to certain risks and uncertainties that could cause actual results to differ materially from those projected in such statements. A major risk is that the Company's</w:t>
      </w:r>
    </w:p>
    <w:p>
      <w:pPr>
        <w:sectPr>
          <w:pgSz w:w="11900" w:h="16838" w:orient="portrait"/>
          <w:cols w:equalWidth="0" w:num="1">
            <w:col w:w="10219"/>
          </w:cols>
          <w:pgMar w:left="240" w:top="142" w:right="1440" w:bottom="0" w:gutter="0" w:footer="0" w:header="0"/>
        </w:sectPr>
      </w:pPr>
    </w:p>
    <w:bookmarkStart w:id="4" w:name="page5"/>
    <w:bookmarkEnd w:id="4"/>
    <w:p>
      <w:pPr>
        <w:ind w:right="2199"/>
        <w:spacing w:after="0" w:line="271" w:lineRule="auto"/>
        <w:rPr>
          <w:sz w:val="20"/>
          <w:szCs w:val="20"/>
          <w:color w:val="auto"/>
        </w:rPr>
      </w:pPr>
      <w:r>
        <w:rPr>
          <w:rFonts w:ascii="Courier New" w:cs="Courier New" w:eastAsia="Courier New" w:hAnsi="Courier New"/>
          <w:sz w:val="16"/>
          <w:szCs w:val="16"/>
          <w:color w:val="auto"/>
        </w:rPr>
        <w:t>demand is largely derived from the demand for its customers' products, which subjects the Company to uncertainties related to downturns in a customer's business and unanticipated customer production planning curtailments. Other major risks and uncertainties include, but are not limited to, significant increases in raw material costs, customer financial stability, worldwide economic and political conditions, foreign currency fluctuations, and future terrorist attacks such as those that occurred on September 11, 2001.</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announced, Quaker Chemical's investor conference call to discuss third quarter results is scheduled for October 31, 2003 at 10:00 a.m. (ET). Access the conference by calling 800-922-0755 or visit Quaker's Web site at www.quakerchem.com for a live webcast.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Quaker Chemical Corporation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Condensed Consolidated Statement of Income</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For the period ended September 30,</w:t>
      </w: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70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(Dollars in thousands, except per share data)</w:t>
            </w:r>
          </w:p>
        </w:tc>
      </w:tr>
      <w:tr>
        <w:trPr>
          <w:trHeight w:val="203"/>
        </w:trPr>
        <w:tc>
          <w:tcPr>
            <w:tcW w:w="2220" w:type="dxa"/>
            <w:vAlign w:val="bottom"/>
          </w:tcPr>
          <w:p>
            <w:pPr>
              <w:spacing w:after="0"/>
              <w:rPr>
                <w:sz w:val="17"/>
                <w:szCs w:val="17"/>
                <w:color w:val="auto"/>
              </w:rPr>
            </w:pPr>
          </w:p>
        </w:tc>
        <w:tc>
          <w:tcPr>
            <w:tcW w:w="570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2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Third Quarter</w:t>
            </w: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Nine Months</w:t>
            </w:r>
          </w:p>
        </w:tc>
      </w:tr>
      <w:tr>
        <w:trPr>
          <w:trHeight w:val="203"/>
        </w:trPr>
        <w:tc>
          <w:tcPr>
            <w:tcW w:w="2220" w:type="dxa"/>
            <w:vAlign w:val="bottom"/>
          </w:tcPr>
          <w:p>
            <w:pPr>
              <w:spacing w:after="0"/>
              <w:rPr>
                <w:sz w:val="17"/>
                <w:szCs w:val="17"/>
                <w:color w:val="auto"/>
              </w:rPr>
            </w:pPr>
          </w:p>
        </w:tc>
        <w:tc>
          <w:tcPr>
            <w:tcW w:w="296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6"/>
              </w:rPr>
              <w:t>------------------------</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$89,713</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$73,268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$246,503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$202,652</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58,928</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43,869</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158,405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119,934</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30,785</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29,399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88,098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82,718</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34.3%</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40.1%</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Selling, general</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24,459</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22,697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70,367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66,000</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6,326</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6,702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17,731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16,718</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9.1%</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295</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942</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Interest expense, net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(240)</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(747)</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taxes</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6,381</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7,175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17,947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17,165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Taxes on income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1,683</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2,296</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5,384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5,493</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4,698</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4,879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12,563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11,672</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Equity in net income</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associated</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companies</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of</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subsidiaries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(777)</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(720)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(2,103)</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$ 4,136</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$ 4,289</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$ 10,718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9,883</w:t>
            </w:r>
          </w:p>
        </w:tc>
      </w:tr>
      <w:tr>
        <w:trPr>
          <w:trHeight w:val="203"/>
        </w:trPr>
        <w:tc>
          <w:tcPr>
            <w:tcW w:w="22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5.9%</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Per share data:</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basic</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$0.44</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$0.47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w:t>
            </w:r>
          </w:p>
        </w:tc>
      </w:tr>
      <w:tr>
        <w:trPr>
          <w:trHeight w:val="405"/>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diluted</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$0.42</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$0.45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Shares Outstanding:</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9,410,675</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9,222,050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9,335,628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9,149,337</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9,856,783</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9,453,208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9,687,346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9,433,279</w:t>
            </w:r>
          </w:p>
        </w:tc>
      </w:tr>
      <w:tr>
        <w:trPr>
          <w:trHeight w:val="405"/>
        </w:trPr>
        <w:tc>
          <w:tcPr>
            <w:tcW w:w="2220" w:type="dxa"/>
            <w:vAlign w:val="bottom"/>
          </w:tcPr>
          <w:p>
            <w:pPr>
              <w:spacing w:after="0"/>
              <w:rPr>
                <w:sz w:val="24"/>
                <w:szCs w:val="24"/>
                <w:color w:val="auto"/>
              </w:rPr>
            </w:pPr>
          </w:p>
        </w:tc>
        <w:tc>
          <w:tcPr>
            <w:tcW w:w="2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6"/>
              </w:rPr>
              <w:t>Quaker Chemical Corporation</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2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ind w:left="2220"/>
        <w:spacing w:after="0" w:line="238" w:lineRule="auto"/>
        <w:rPr>
          <w:sz w:val="20"/>
          <w:szCs w:val="20"/>
          <w:color w:val="auto"/>
        </w:rPr>
      </w:pPr>
      <w:r>
        <w:rPr>
          <w:rFonts w:ascii="Courier New" w:cs="Courier New" w:eastAsia="Courier New" w:hAnsi="Courier New"/>
          <w:sz w:val="18"/>
          <w:szCs w:val="18"/>
          <w:color w:val="auto"/>
        </w:rPr>
        <w:t>Condensed Consolidated Balance Sheet</w:t>
      </w:r>
    </w:p>
    <w:p>
      <w:pPr>
        <w:ind w:left="2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180" w:type="dxa"/>
            <w:vAlign w:val="bottom"/>
          </w:tcPr>
          <w:p>
            <w:pPr>
              <w:spacing w:after="0"/>
              <w:rPr>
                <w:sz w:val="17"/>
                <w:szCs w:val="17"/>
                <w:color w:val="auto"/>
              </w:rPr>
            </w:pPr>
          </w:p>
        </w:tc>
        <w:tc>
          <w:tcPr>
            <w:tcW w:w="288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spacing w:after="0"/>
              <w:rPr>
                <w:sz w:val="17"/>
                <w:szCs w:val="17"/>
                <w:color w:val="auto"/>
              </w:rPr>
            </w:pPr>
          </w:p>
        </w:tc>
        <w:tc>
          <w:tcPr>
            <w:tcW w:w="2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203"/>
        </w:trPr>
        <w:tc>
          <w:tcPr>
            <w:tcW w:w="4180" w:type="dxa"/>
            <w:vAlign w:val="bottom"/>
          </w:tcPr>
          <w:p>
            <w:pPr>
              <w:spacing w:after="0"/>
              <w:rPr>
                <w:sz w:val="17"/>
                <w:szCs w:val="17"/>
                <w:color w:val="auto"/>
              </w:rPr>
            </w:pPr>
          </w:p>
        </w:tc>
        <w:tc>
          <w:tcPr>
            <w:tcW w:w="2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September 30,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2003</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41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$ 17,981</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$ 13,857</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73,953</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53,353</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14,619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11,342</w:t>
            </w:r>
          </w:p>
        </w:tc>
      </w:tr>
      <w:tr>
        <w:trPr>
          <w:trHeight w:val="203"/>
        </w:trPr>
        <w:tc>
          <w:tcPr>
            <w:tcW w:w="41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Work-in-process and finished goods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15,742</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12,294</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12,214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12,827</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134,509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103,673</w:t>
            </w:r>
          </w:p>
        </w:tc>
      </w:tr>
      <w:tr>
        <w:trPr>
          <w:trHeight w:val="405"/>
        </w:trPr>
        <w:tc>
          <w:tcPr>
            <w:tcW w:w="4180" w:type="dxa"/>
            <w:vAlign w:val="bottom"/>
          </w:tcPr>
          <w:p>
            <w:pPr>
              <w:spacing w:after="0"/>
              <w:rPr>
                <w:sz w:val="20"/>
                <w:szCs w:val="20"/>
                <w:color w:val="auto"/>
              </w:rPr>
            </w:pPr>
            <w:r>
              <w:rPr>
                <w:rFonts w:ascii="Courier New" w:cs="Courier New" w:eastAsia="Courier New" w:hAnsi="Courier New"/>
                <w:sz w:val="18"/>
                <w:szCs w:val="18"/>
                <w:color w:val="auto"/>
              </w:rPr>
              <w:t>Property, plant and</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at cost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129,739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113,207</w:t>
            </w:r>
          </w:p>
        </w:tc>
      </w:tr>
      <w:tr>
        <w:trPr>
          <w:trHeight w:val="203"/>
        </w:trPr>
        <w:tc>
          <w:tcPr>
            <w:tcW w:w="41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72,650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64,695</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Net property, plant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and equipment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57,089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48,512</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28,890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21,927</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6,290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5,852</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associated companies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5,736</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9,060</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10,571</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10,609</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15,734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14,225</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$258,819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$213,858</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41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 and</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$ 28,991</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$ 12,205</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and other payables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35,420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29,423</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7,317</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10,254</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15,326</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14,262</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87,054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66,144</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18,222</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16,590</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1,744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1,518</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37,004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33,889</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144,024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118,141</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80" w:type="dxa"/>
            <w:vAlign w:val="bottom"/>
          </w:tcPr>
          <w:p>
            <w:pPr>
              <w:spacing w:after="0"/>
              <w:rPr>
                <w:sz w:val="20"/>
                <w:szCs w:val="20"/>
                <w:color w:val="auto"/>
              </w:rPr>
            </w:pPr>
            <w:r>
              <w:rPr>
                <w:rFonts w:ascii="Courier New" w:cs="Courier New" w:eastAsia="Courier New" w:hAnsi="Courier New"/>
                <w:sz w:val="18"/>
                <w:szCs w:val="18"/>
                <w:color w:val="auto"/>
              </w:rPr>
              <w:t>Minority interest in equity</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subsidiaries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10,054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7,662</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30,000,000 shares;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 (including treasury</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9,664,009 shares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9,664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9,664</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115,216</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110,448</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Unearned compensation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(1,245)</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comprehensive (loss)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(19,018)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(27,078)</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106,490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92,415</w:t>
            </w:r>
          </w:p>
        </w:tc>
      </w:tr>
      <w:tr>
        <w:trPr>
          <w:trHeight w:val="203"/>
        </w:trPr>
        <w:tc>
          <w:tcPr>
            <w:tcW w:w="4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shares held</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cost; 2003 - 122,369,</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2002 - 324,109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(4,360)</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104,741</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88,055</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$258,819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$213,858</w:t>
            </w:r>
          </w:p>
        </w:tc>
      </w:tr>
      <w:tr>
        <w:trPr>
          <w:trHeight w:val="203"/>
        </w:trPr>
        <w:tc>
          <w:tcPr>
            <w:tcW w:w="41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5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Quaker Chemical Corporation</w:t>
            </w:r>
          </w:p>
        </w:tc>
        <w:tc>
          <w:tcPr>
            <w:tcW w:w="1520" w:type="dxa"/>
            <w:vAlign w:val="bottom"/>
          </w:tcPr>
          <w:p>
            <w:pPr>
              <w:spacing w:after="0"/>
              <w:rPr>
                <w:sz w:val="24"/>
                <w:szCs w:val="24"/>
                <w:color w:val="auto"/>
              </w:rPr>
            </w:pPr>
          </w:p>
        </w:tc>
      </w:tr>
      <w:tr>
        <w:trPr>
          <w:trHeight w:val="203"/>
        </w:trPr>
        <w:tc>
          <w:tcPr>
            <w:tcW w:w="55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bl>
    <w:p>
      <w:pPr>
        <w:ind w:left="1280"/>
        <w:spacing w:after="0" w:line="238" w:lineRule="auto"/>
        <w:rPr>
          <w:sz w:val="20"/>
          <w:szCs w:val="20"/>
          <w:color w:val="auto"/>
        </w:rPr>
      </w:pPr>
      <w:r>
        <w:rPr>
          <w:rFonts w:ascii="Courier New" w:cs="Courier New" w:eastAsia="Courier New" w:hAnsi="Courier New"/>
          <w:sz w:val="18"/>
          <w:szCs w:val="18"/>
          <w:color w:val="auto"/>
        </w:rPr>
        <w:t>Condensed Consolidated Statement of Cash Flows</w:t>
      </w: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799"/>
          </w:cols>
          <w:pgMar w:left="660" w:top="136" w:right="1440" w:bottom="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For the nine months ended September 30,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5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(Dollars in thousands)</w:t>
            </w:r>
          </w:p>
        </w:tc>
      </w:tr>
      <w:tr>
        <w:trPr>
          <w:trHeight w:val="203"/>
        </w:trPr>
        <w:tc>
          <w:tcPr>
            <w:tcW w:w="4280" w:type="dxa"/>
            <w:vAlign w:val="bottom"/>
          </w:tcPr>
          <w:p>
            <w:pPr>
              <w:spacing w:after="0"/>
              <w:rPr>
                <w:sz w:val="17"/>
                <w:szCs w:val="17"/>
                <w:color w:val="auto"/>
              </w:rPr>
            </w:pP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2003</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280" w:type="dxa"/>
            <w:vAlign w:val="bottom"/>
          </w:tcPr>
          <w:p>
            <w:pPr>
              <w:spacing w:after="0"/>
              <w:rPr>
                <w:sz w:val="17"/>
                <w:szCs w:val="17"/>
                <w:color w:val="auto"/>
              </w:rPr>
            </w:pP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Cash flows from operating activities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$ 10,718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9,883</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to cash provided by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5,246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3,571</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Amortization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net income of</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associated companies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earnings of subsidiaries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2,103</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compensation and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postretirement benefits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Pension and other, net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1,885</w:t>
            </w: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cash</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from changes in current assets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and current liabilities: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(14,460)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(3,375)</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(2,543)</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1,587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(1,326)</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4,288</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Change in restructuring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(1,763)</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Net cash provided by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13,275</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property,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and distributions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associated companies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3,890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related to acquisitions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(6,737)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(21,285)</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Net cash (used in) investing</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(10,784)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(29,063)</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Cash flows from financing activities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short-term borrowings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16,686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23,121</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issued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2,618</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minority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12,865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18,469</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Effect of exchange rate</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on cash</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Net increase (decrease) in cash</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4,124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2,495</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13,857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20,549</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$ 17,981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$ 23,044</w:t>
            </w:r>
          </w:p>
        </w:tc>
      </w:tr>
      <w:tr>
        <w:trPr>
          <w:trHeight w:val="203"/>
        </w:trPr>
        <w:tc>
          <w:tcPr>
            <w:tcW w:w="42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2019-12-12T10:30:52Z</dcterms:created>
  <dcterms:modified xsi:type="dcterms:W3CDTF">2019-12-12T10:30:52Z</dcterms:modified>
</cp:coreProperties>
</file>