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5" w:lineRule="exact"/>
        <w:rPr>
          <w:sz w:val="24"/>
          <w:szCs w:val="24"/>
          <w:color w:val="auto"/>
        </w:rPr>
      </w:pPr>
    </w:p>
    <w:p>
      <w:pPr>
        <w:ind w:right="640"/>
        <w:spacing w:after="0" w:line="392" w:lineRule="auto"/>
        <w:rPr>
          <w:sz w:val="20"/>
          <w:szCs w:val="20"/>
          <w:color w:val="auto"/>
        </w:rPr>
      </w:pPr>
      <w:r>
        <w:rPr>
          <w:rFonts w:ascii="Times New Roman" w:cs="Times New Roman" w:eastAsia="Times New Roman" w:hAnsi="Times New Roman"/>
          <w:sz w:val="22"/>
          <w:szCs w:val="22"/>
          <w:b w:val="1"/>
          <w:bCs w:val="1"/>
          <w:color w:val="auto"/>
        </w:rPr>
        <w:t>Conflict Minerals Report of Quaker Chemical Corporation for the period of January 1, 2025 to December 31, 2025 1. Introduction</w:t>
      </w:r>
    </w:p>
    <w:p>
      <w:pPr>
        <w:spacing w:after="0" w:line="1" w:lineRule="exact"/>
        <w:rPr>
          <w:sz w:val="24"/>
          <w:szCs w:val="24"/>
          <w:color w:val="auto"/>
        </w:rPr>
      </w:pPr>
    </w:p>
    <w:p>
      <w:pPr>
        <w:spacing w:after="0" w:line="259" w:lineRule="auto"/>
        <w:rPr>
          <w:sz w:val="20"/>
          <w:szCs w:val="20"/>
          <w:color w:val="auto"/>
        </w:rPr>
      </w:pPr>
      <w:r>
        <w:rPr>
          <w:rFonts w:ascii="Times New Roman" w:cs="Times New Roman" w:eastAsia="Times New Roman" w:hAnsi="Times New Roman"/>
          <w:sz w:val="22"/>
          <w:szCs w:val="22"/>
          <w:color w:val="auto"/>
        </w:rPr>
        <w:t>This Conflict Minerals Report describes the due diligence process of Quaker Chemical Corporation, doing business as Quaker Houghton, and its subsidiaries and affiliates listed on Exhibit 21 of its 10-K filed with Securities and Exchange Commission (the “Company,” and “Quaker Houghton”), in accordance with the requirements of Rule 13p-1 of the Securities Exchange Act or 1934, as amended. This report combines the activities of Quaker Houghton and its subsidiaries. In 2025, Quaker Houghton completed the acquisition of three companies: 1) Chemical Solutions &amp; Innovations Pty. Ltd. (“CSI”); 2) Dipsol Chemicals Co. Ltd.; and 3) Natech Limited. Consistent with the Securities and Exchange Commission requirements for newly acquired companies, Quaker Houghton is not reporting on the products manufactured by these companies in this report. To the extent these newly acquired companies have products that contain tin, tungsten, tantalum or gold as necessary components for the functionality or production of the products, these products will be included in the report filed next year.</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Overview</w:t>
      </w:r>
    </w:p>
    <w:p>
      <w:pPr>
        <w:spacing w:after="0" w:line="156" w:lineRule="exact"/>
        <w:rPr>
          <w:sz w:val="24"/>
          <w:szCs w:val="24"/>
          <w:color w:val="auto"/>
        </w:rPr>
      </w:pPr>
    </w:p>
    <w:p>
      <w:pPr>
        <w:ind w:right="40"/>
        <w:spacing w:after="0" w:line="260" w:lineRule="auto"/>
        <w:rPr>
          <w:sz w:val="20"/>
          <w:szCs w:val="20"/>
          <w:color w:val="auto"/>
        </w:rPr>
      </w:pPr>
      <w:r>
        <w:rPr>
          <w:rFonts w:ascii="Times New Roman" w:cs="Times New Roman" w:eastAsia="Times New Roman" w:hAnsi="Times New Roman"/>
          <w:sz w:val="22"/>
          <w:szCs w:val="22"/>
          <w:color w:val="auto"/>
        </w:rPr>
        <w:t>Quaker Houghton was organized in 1918, incorporated as a Pennsylvania business corporation in 1930, and in August 2019 completed a combination with Houghton International Inc. (“Houghton”) to form Quaker Houghton. Quaker Houghton is the global leader in industrial process fluids. With a presence around the world, including operations in over 25 countries, the Company’s customers include thousands of the world’s most advanced and specialized steel, aluminum, automotive, aerospace, offshore, can, mining, and metalworking companies. Quaker Houghton develops, produces, and markets a broad range of formulated specialty chemical products and offers chemical management services for various heavy industrial and manufacturing applications throughout its three segments: Americas; Europe, Middle East, and Africa; and Asia-Pacific.</w:t>
      </w:r>
    </w:p>
    <w:p>
      <w:pPr>
        <w:spacing w:after="0" w:line="120" w:lineRule="exact"/>
        <w:rPr>
          <w:sz w:val="24"/>
          <w:szCs w:val="24"/>
          <w:color w:val="auto"/>
        </w:rPr>
      </w:pPr>
    </w:p>
    <w:p>
      <w:pPr>
        <w:ind w:right="60"/>
        <w:spacing w:after="0" w:line="260" w:lineRule="auto"/>
        <w:rPr>
          <w:sz w:val="20"/>
          <w:szCs w:val="20"/>
          <w:color w:val="auto"/>
        </w:rPr>
      </w:pPr>
      <w:r>
        <w:rPr>
          <w:rFonts w:ascii="Times New Roman" w:cs="Times New Roman" w:eastAsia="Times New Roman" w:hAnsi="Times New Roman"/>
          <w:sz w:val="22"/>
          <w:szCs w:val="22"/>
          <w:color w:val="auto"/>
        </w:rPr>
        <w:t>The major product lines of Quaker Houghton include metal removal fluids, cleaning fluids, corrosion inhibitors, metal drawing and forming fluids, die cast mold releases, heat treatment and quenchants, metal forging fluids, hydraulic fluids, surface solutions, specialty greases, offshore sub-sea energy control fluids, rolling lubricants, and rod and wire drawing fluids. Certain of Quaker Houghton’s products include tin, tungsten and gold which are necessary to the functionality or production of these products. Tin, tantalum, tungsten, and gold are referred to collectively as “3TG.” Covered Countries refers to the Democratic Republic of the Congo (“DRC”) or an adjoining country, i.e., a country that shares an internationally recognized border with the DRC.</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Reasonable Country of Origin and Due Diligence</w:t>
      </w:r>
    </w:p>
    <w:p>
      <w:pPr>
        <w:spacing w:after="0" w:line="156" w:lineRule="exact"/>
        <w:rPr>
          <w:sz w:val="24"/>
          <w:szCs w:val="24"/>
          <w:color w:val="auto"/>
        </w:rPr>
      </w:pPr>
    </w:p>
    <w:p>
      <w:pPr>
        <w:ind w:right="620"/>
        <w:spacing w:after="0" w:line="263" w:lineRule="auto"/>
        <w:rPr>
          <w:sz w:val="20"/>
          <w:szCs w:val="20"/>
          <w:color w:val="auto"/>
        </w:rPr>
      </w:pPr>
      <w:r>
        <w:rPr>
          <w:rFonts w:ascii="Times New Roman" w:cs="Times New Roman" w:eastAsia="Times New Roman" w:hAnsi="Times New Roman"/>
          <w:sz w:val="22"/>
          <w:szCs w:val="22"/>
          <w:color w:val="auto"/>
        </w:rPr>
        <w:t>To implement a reasonable country of origin inquiry (“RCOI”) for the 3TG supplied to Quaker Houghton, the Company conducted an internal analysis of its products and components to identify those that contain tin, tungsten, tantalum or gold. Quaker Houghton’s analysis identified</w:t>
      </w:r>
    </w:p>
    <w:p>
      <w:pPr>
        <w:sectPr>
          <w:pgSz w:w="11900" w:h="16838" w:orient="portrait"/>
          <w:cols w:equalWidth="0" w:num="1">
            <w:col w:w="11220"/>
          </w:cols>
          <w:pgMar w:left="320" w:top="1440" w:right="359" w:bottom="1440" w:gutter="0" w:footer="0" w:header="0"/>
        </w:sectPr>
      </w:pPr>
    </w:p>
    <w:bookmarkStart w:id="1" w:name="page2"/>
    <w:bookmarkEnd w:id="1"/>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approximately 34 products that contain tin, tungsten, or gold, some of which is sourced from recycled scrap.</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Quaker Houghton did not identify any products that contain tantalum. Quaker Houghton retained a third-party vendor, GreenSoft Technologies (“GreenSoft”), to collect relevant information from the Company’s suppliers of 3TG. Quaker Houghton reviewed and evaluated information provided by its tin, tungsten, or gold suppliers and prepared a Conflict Minerals Reporting Template (“CMRT”) in accordance with the instructions provided by the Responsible Minerals Initiative (“RMI”). The Company received responses from all of its 15 suppliers of 3TG, reflecting a response rate of 100%. Some suppliers provided responsive information through a company-level CMRT. As a result, some of the smelters listed in this report may not be used to source 3TG incorporated into Quaker Houghton products.</w:t>
      </w:r>
    </w:p>
    <w:p>
      <w:pPr>
        <w:spacing w:after="0" w:line="2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Quaker Houghton’s due diligence process is based on the Organization for Economic Co-operation and Development’s Due Diligence Guidance for Responsible Supply Chains of Minerals from Conflict-Affected and High-Risk Areas and accompanying supplements (the “OECD Framework”), which is an internationally recognized due diligence framework. Quaker Houghton has adopted a Conflict Minerals Policy Statement that expresses the Company’s commitment to the responsible sourcing of 3TG minerals necessary for the production and functionality of its products. The Company’s Conflict Minerals Policy Statement is publicly available on the Company’s website at: https://investors.quakerhoughton.com/corporate-governance under Corporate Governance, Governance Overview. Quaker Houghton has a Supplier Code of Conduct, which is based on the UN Global Compact Initiative and the global chemical Responsible Care program, and is available on the Company’s website: Policies - Quaker Houghton Quaker Houghton’s Supplier Code of Conduct requires suppliers to abide by all applicable laws and regulations related to conflict minerals and to lawfully and ethically source goods and materials consistent with conflict mineral regulations, including but not limited to: 1) Section 1502 of the U.S. Dodd-Frank Act: 2) EU Conflict Minerals Regulation (Regulation EU 2017/821); and 3) OECD Due Diligence Guidelines for Responsible Supply Chains of Minerals from Conflict-Affected and High-Risk Areas.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Smelters</w:t>
      </w:r>
    </w:p>
    <w:p>
      <w:pPr>
        <w:spacing w:after="0" w:line="156"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21"/>
          <w:szCs w:val="21"/>
          <w:color w:val="auto"/>
        </w:rPr>
        <w:t>Quaker Houghton through its consultant, GreenSoft, compared the 3TG smelters identified in the CMRTs provided by its suppliers to the facilities identified by the RMI Responsible Minerals Assurance Process (“RMAP”) as conformant. The RMAP assesses facilities' systems and processes for traceability of ore and demonstration of conflict-free sourcing. The RMAP uses an independent third-party assessment of smelter management systems and sourcing practices to validate conformance with RMAP standards. The RMAP standards are developed to meet the requirements of the OECD Due Diligence Guidance. Information on the RMAP process can be found at: http://www.responsiblemineralsinitiative.org/responsible-minerals-assurance-process/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16459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right="20" w:firstLine="8"/>
        <w:spacing w:after="0" w:line="235" w:lineRule="auto"/>
        <w:tabs>
          <w:tab w:leader="none" w:pos="103"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of Quaker Houghton’s products may include organotin compounds. It is our understanding that organotin compounds are not considered metals or alloy derivatives within the scope of Rule 13p-1 under the Securities Exchange Act (17 C.F.R. § 240.13p-1.). Therefore, we have not reported smelters of organotins.</w:t>
      </w:r>
    </w:p>
    <w:p>
      <w:pPr>
        <w:sectPr>
          <w:pgSz w:w="11900" w:h="16838" w:orient="portrait"/>
          <w:cols w:equalWidth="0" w:num="1">
            <w:col w:w="11220"/>
          </w:cols>
          <w:pgMar w:left="320" w:top="1440" w:right="359" w:bottom="1440" w:gutter="0" w:footer="0" w:header="0"/>
        </w:sectPr>
      </w:pPr>
    </w:p>
    <w:bookmarkStart w:id="2" w:name="page3"/>
    <w:bookmarkEnd w:id="2"/>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list of conformant smelters is published and maintained on RMI’s website: RMI Active and Conformant Facilities List.</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Smelters</w:t>
      </w:r>
    </w:p>
    <w:p>
      <w:pPr>
        <w:spacing w:after="0" w:line="139"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22"/>
          <w:szCs w:val="22"/>
          <w:color w:val="auto"/>
        </w:rPr>
        <w:t>Based on the CMRTs provided to Quaker Houghton, the following smelters were identified as a source of 3TG to Quaker Houghton’s suppliers. As noted above, since some of the CMRTs provided reported on all smelters used by the supplier rather than the smelters used for a particular product, the list below may include smelters that do not source 3TG incorporated into Quaker Houghton products. The smelter ID number for three tin smelters was not provided by the supplier. As a result, we are unable to determine if these smelters are compliant. As indicated below, all of the smelters identified on CMRTs provided to the Company by its suppliers of 3TG were conformant.</w:t>
      </w:r>
    </w:p>
    <w:p>
      <w:pPr>
        <w:spacing w:after="0" w:line="200" w:lineRule="exact"/>
        <w:rPr>
          <w:sz w:val="20"/>
          <w:szCs w:val="20"/>
          <w:color w:val="auto"/>
        </w:rPr>
      </w:pPr>
    </w:p>
    <w:p>
      <w:pPr>
        <w:spacing w:after="0" w:line="326"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540" w:type="dxa"/>
            <w:vAlign w:val="bottom"/>
            <w:tcBorders>
              <w:top w:val="single" w:sz="8" w:color="auto"/>
              <w:left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22"/>
                <w:szCs w:val="22"/>
                <w:b w:val="1"/>
                <w:bCs w:val="1"/>
                <w:color w:val="auto"/>
              </w:rPr>
              <w:t>Metal</w:t>
            </w:r>
          </w:p>
        </w:tc>
        <w:tc>
          <w:tcPr>
            <w:tcW w:w="3680" w:type="dxa"/>
            <w:vAlign w:val="bottom"/>
            <w:tcBorders>
              <w:top w:val="single" w:sz="8" w:color="auto"/>
              <w:right w:val="single" w:sz="8" w:color="auto"/>
            </w:tcBorders>
            <w:gridSpan w:val="2"/>
          </w:tcPr>
          <w:p>
            <w:pPr>
              <w:ind w:left="800"/>
              <w:spacing w:after="0"/>
              <w:rPr>
                <w:sz w:val="20"/>
                <w:szCs w:val="20"/>
                <w:color w:val="auto"/>
              </w:rPr>
            </w:pPr>
            <w:r>
              <w:rPr>
                <w:rFonts w:ascii="Times New Roman" w:cs="Times New Roman" w:eastAsia="Times New Roman" w:hAnsi="Times New Roman"/>
                <w:sz w:val="22"/>
                <w:szCs w:val="22"/>
                <w:b w:val="1"/>
                <w:bCs w:val="1"/>
                <w:color w:val="auto"/>
              </w:rPr>
              <w:t>Official Smelter Name</w:t>
            </w:r>
          </w:p>
        </w:tc>
        <w:tc>
          <w:tcPr>
            <w:tcW w:w="172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b w:val="1"/>
                <w:bCs w:val="1"/>
                <w:color w:val="auto"/>
              </w:rPr>
              <w:t>Smelter ID</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Conformant</w:t>
            </w:r>
          </w:p>
        </w:tc>
        <w:tc>
          <w:tcPr>
            <w:tcW w:w="248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22"/>
                <w:szCs w:val="22"/>
                <w:b w:val="1"/>
                <w:bCs w:val="1"/>
                <w:color w:val="auto"/>
              </w:rPr>
              <w:t>Smelter Location</w:t>
            </w:r>
          </w:p>
        </w:tc>
      </w:tr>
      <w:tr>
        <w:trPr>
          <w:trHeight w:val="373"/>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Smelter</w:t>
            </w:r>
            <w:r>
              <w:rPr>
                <w:rFonts w:ascii="Times New Roman" w:cs="Times New Roman" w:eastAsia="Times New Roman" w:hAnsi="Times New Roman"/>
                <w:sz w:val="28"/>
                <w:szCs w:val="28"/>
                <w:b w:val="1"/>
                <w:bCs w:val="1"/>
                <w:color w:val="auto"/>
                <w:w w:val="96"/>
                <w:vertAlign w:val="superscript"/>
              </w:rPr>
              <w:t>2</w:t>
            </w:r>
          </w:p>
        </w:tc>
        <w:tc>
          <w:tcPr>
            <w:tcW w:w="2480" w:type="dxa"/>
            <w:vAlign w:val="bottom"/>
            <w:tcBorders>
              <w:right w:val="single" w:sz="8" w:color="auto"/>
            </w:tcBorders>
          </w:tcPr>
          <w:p>
            <w:pPr>
              <w:spacing w:after="0"/>
              <w:rPr>
                <w:sz w:val="24"/>
                <w:szCs w:val="24"/>
                <w:color w:val="auto"/>
              </w:rPr>
            </w:pPr>
          </w:p>
        </w:tc>
      </w:tr>
      <w:tr>
        <w:trPr>
          <w:trHeight w:val="121"/>
        </w:trPr>
        <w:tc>
          <w:tcPr>
            <w:tcW w:w="1540" w:type="dxa"/>
            <w:vAlign w:val="bottom"/>
            <w:tcBorders>
              <w:left w:val="single" w:sz="8" w:color="auto"/>
              <w:bottom w:val="single" w:sz="8" w:color="auto"/>
              <w:right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Ogussa Osterreichische Gold- und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CID002779</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AUSTRIA</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Silber-Scheideanstalt GmbH</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WIELAND Edelmetalle GmbH</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CID002778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GERMANY</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Zhongyuan Gold Smelter of Zhongjin</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CID002224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Gold Corporation</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Western Australian Mint (T/a The Perth</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CID002030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AUSTRALIA</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Mint)</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United Precious Metal Refining, Inc.</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CID001993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UNITED STATES OF</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AMERICA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Umicore S.A. Business Unit Precious</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CID001980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BELGIUM</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Metals Refining</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Tokuriki Honten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CID001938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Tanaka Kikinzoku Kogyo K.K.</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CID001875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Sumitomo Metal Mining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CID001798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Solar Applied Materials Technology</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CID001761</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w w:val="97"/>
              </w:rPr>
              <w:t>TAIWAN, PROVINCE OF</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Corp.</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Royal Canadian Mint</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CID001534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CANADA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64"/>
        </w:trPr>
        <w:tc>
          <w:tcPr>
            <w:tcW w:w="1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6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480" w:type="dxa"/>
            <w:vAlign w:val="bottom"/>
          </w:tcPr>
          <w:p>
            <w:pPr>
              <w:spacing w:after="0"/>
              <w:rPr>
                <w:sz w:val="22"/>
                <w:szCs w:val="22"/>
                <w:color w:val="auto"/>
              </w:rPr>
            </w:pPr>
          </w:p>
        </w:tc>
      </w:tr>
    </w:tbl>
    <w:p>
      <w:pPr>
        <w:spacing w:after="0" w:line="63" w:lineRule="exact"/>
        <w:rPr>
          <w:sz w:val="20"/>
          <w:szCs w:val="20"/>
          <w:color w:val="auto"/>
        </w:rPr>
      </w:pPr>
    </w:p>
    <w:p>
      <w:pPr>
        <w:ind w:right="760" w:firstLine="8"/>
        <w:spacing w:after="0" w:line="229" w:lineRule="auto"/>
        <w:tabs>
          <w:tab w:leader="none" w:pos="115" w:val="left"/>
        </w:tabs>
        <w:numPr>
          <w:ilvl w:val="0"/>
          <w:numId w:val="2"/>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Conformant refers to facilities that are listed by RMI as of May 2026 as conformant with RMAP protocols or certified or accredited by a similar independent assessment program cross-recognized by RMAP as confirmed by GreenSoft.</w:t>
      </w:r>
    </w:p>
    <w:p>
      <w:pPr>
        <w:sectPr>
          <w:pgSz w:w="11900" w:h="16838" w:orient="portrait"/>
          <w:cols w:equalWidth="0" w:num="1">
            <w:col w:w="11260"/>
          </w:cols>
          <w:pgMar w:left="320" w:top="1440" w:right="319" w:bottom="1440" w:gutter="0" w:footer="0" w:header="0"/>
        </w:sectPr>
      </w:pPr>
    </w:p>
    <w:bookmarkStart w:id="3" w:name="page4"/>
    <w:bookmarkEnd w:id="3"/>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540" w:type="dxa"/>
            <w:vAlign w:val="bottom"/>
            <w:tcBorders>
              <w:top w:val="single" w:sz="8" w:color="auto"/>
              <w:left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22"/>
                <w:szCs w:val="22"/>
                <w:b w:val="1"/>
                <w:bCs w:val="1"/>
                <w:color w:val="auto"/>
              </w:rPr>
              <w:t>Metal</w:t>
            </w:r>
          </w:p>
        </w:tc>
        <w:tc>
          <w:tcPr>
            <w:tcW w:w="3680" w:type="dxa"/>
            <w:vAlign w:val="bottom"/>
            <w:tcBorders>
              <w:top w:val="single" w:sz="8" w:color="auto"/>
              <w:right w:val="single" w:sz="8" w:color="auto"/>
            </w:tcBorders>
            <w:gridSpan w:val="2"/>
          </w:tcPr>
          <w:p>
            <w:pPr>
              <w:ind w:left="800"/>
              <w:spacing w:after="0"/>
              <w:rPr>
                <w:sz w:val="20"/>
                <w:szCs w:val="20"/>
                <w:color w:val="auto"/>
              </w:rPr>
            </w:pPr>
            <w:r>
              <w:rPr>
                <w:rFonts w:ascii="Times New Roman" w:cs="Times New Roman" w:eastAsia="Times New Roman" w:hAnsi="Times New Roman"/>
                <w:sz w:val="22"/>
                <w:szCs w:val="22"/>
                <w:b w:val="1"/>
                <w:bCs w:val="1"/>
                <w:color w:val="auto"/>
              </w:rPr>
              <w:t>Official Smelter Name</w:t>
            </w:r>
          </w:p>
        </w:tc>
        <w:tc>
          <w:tcPr>
            <w:tcW w:w="172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b w:val="1"/>
                <w:bCs w:val="1"/>
                <w:color w:val="auto"/>
              </w:rPr>
              <w:t>Smelter ID</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Conformant</w:t>
            </w:r>
          </w:p>
        </w:tc>
        <w:tc>
          <w:tcPr>
            <w:tcW w:w="248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22"/>
                <w:szCs w:val="22"/>
                <w:b w:val="1"/>
                <w:bCs w:val="1"/>
                <w:color w:val="auto"/>
              </w:rPr>
              <w:t>Smelter Location</w:t>
            </w:r>
          </w:p>
        </w:tc>
      </w:tr>
      <w:tr>
        <w:trPr>
          <w:trHeight w:val="373"/>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Smelter</w:t>
            </w:r>
            <w:r>
              <w:rPr>
                <w:rFonts w:ascii="Times New Roman" w:cs="Times New Roman" w:eastAsia="Times New Roman" w:hAnsi="Times New Roman"/>
                <w:sz w:val="28"/>
                <w:szCs w:val="28"/>
                <w:b w:val="1"/>
                <w:bCs w:val="1"/>
                <w:color w:val="auto"/>
                <w:w w:val="96"/>
                <w:vertAlign w:val="superscript"/>
              </w:rPr>
              <w:t>2</w:t>
            </w:r>
          </w:p>
        </w:tc>
        <w:tc>
          <w:tcPr>
            <w:tcW w:w="2480" w:type="dxa"/>
            <w:vAlign w:val="bottom"/>
            <w:tcBorders>
              <w:right w:val="single" w:sz="8" w:color="auto"/>
            </w:tcBorders>
          </w:tcPr>
          <w:p>
            <w:pPr>
              <w:spacing w:after="0"/>
              <w:rPr>
                <w:sz w:val="24"/>
                <w:szCs w:val="24"/>
                <w:color w:val="auto"/>
              </w:rPr>
            </w:pPr>
          </w:p>
        </w:tc>
      </w:tr>
      <w:tr>
        <w:trPr>
          <w:trHeight w:val="121"/>
        </w:trPr>
        <w:tc>
          <w:tcPr>
            <w:tcW w:w="1540" w:type="dxa"/>
            <w:vAlign w:val="bottom"/>
            <w:tcBorders>
              <w:left w:val="single" w:sz="8" w:color="auto"/>
              <w:bottom w:val="single" w:sz="8" w:color="auto"/>
              <w:right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Rand Refinery (Pty)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CID001512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SOUTH AFRICA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MKS PAMP SA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CID001352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SWITZERLAND</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Nihon Material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CID001259</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Mitsui Mining and Smelting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CID001193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Mitsubishi Materials Corporation</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CID001188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Metalurgica Met-Mex Penoles S.A. De</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CID001161</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MEXICO</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C.V.</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Metalor USA Refining Corporation</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CID001157</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UNITED STATES OF</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AMERICA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Metalor Technologies S.A.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CID001153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SWITZERLAND</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Metalor Technologies (Singapore) Pte.,</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CID001152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SINGAPORE</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Ltd.</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w w:val="99"/>
              </w:rPr>
              <w:t>Metalor Technologies (Hong Kong)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CID001149</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Metalor Technologies (Suzhou)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CID001147</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Matsuda Sangyo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CID001119</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Materion</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CID001113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UNITED STATES OF</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AMERICA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LS MnM Inc.</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CID001078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KOREA, REPUBLIC OF</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Kojima Chemicals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CID000981</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Kennecott Utah Copper LLC</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CID000969</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UNITED STATES OF</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AMERICA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JX Nippon Mining &amp; Metals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CID000937</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Asahi Refining Canada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CID000924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CANADA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Asahi Refining USA Inc.</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CID000920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UNITED STATES OF</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AMERICA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Istanbul Gold Refinery</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CID000814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TURKEY</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Ishifuku Metal Industry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CID000807</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Heraeus Germany GmbH Co. KG</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CID000711</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GERMANY</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Heraeus Metals Hong Kong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CID000707</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Heimerle + Meule GmbH</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CID000694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GERMANY</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64"/>
        </w:trPr>
        <w:tc>
          <w:tcPr>
            <w:tcW w:w="1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6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480" w:type="dxa"/>
            <w:vAlign w:val="bottom"/>
          </w:tcPr>
          <w:p>
            <w:pPr>
              <w:spacing w:after="0"/>
              <w:rPr>
                <w:sz w:val="22"/>
                <w:szCs w:val="22"/>
                <w:color w:val="auto"/>
              </w:rPr>
            </w:pPr>
          </w:p>
        </w:tc>
      </w:tr>
    </w:tbl>
    <w:p>
      <w:pPr>
        <w:spacing w:after="0" w:line="63" w:lineRule="exact"/>
        <w:rPr>
          <w:sz w:val="20"/>
          <w:szCs w:val="20"/>
          <w:color w:val="auto"/>
        </w:rPr>
      </w:pPr>
    </w:p>
    <w:p>
      <w:pPr>
        <w:sectPr>
          <w:pgSz w:w="11900" w:h="16838" w:orient="portrait"/>
          <w:cols w:equalWidth="0" w:num="1">
            <w:col w:w="11260"/>
          </w:cols>
          <w:pgMar w:left="320" w:top="1440" w:right="319" w:bottom="0" w:gutter="0" w:footer="0" w:header="0"/>
        </w:sectPr>
      </w:pPr>
    </w:p>
    <w:p>
      <w:pPr>
        <w:ind w:right="760" w:firstLine="8"/>
        <w:spacing w:after="0" w:line="229" w:lineRule="auto"/>
        <w:tabs>
          <w:tab w:leader="none" w:pos="115" w:val="left"/>
        </w:tabs>
        <w:numPr>
          <w:ilvl w:val="0"/>
          <w:numId w:val="3"/>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Conformant refers to facilities that are listed by RMI as of May 2026 as conformant with RMAP protocols or certified or accredited by a similar independent assessment program cross-recognized by RMAP as confirmed by GreenSoft.</w:t>
      </w:r>
    </w:p>
    <w:p>
      <w:pPr>
        <w:sectPr>
          <w:pgSz w:w="11900" w:h="16838" w:orient="portrait"/>
          <w:cols w:equalWidth="0" w:num="1">
            <w:col w:w="11260"/>
          </w:cols>
          <w:pgMar w:left="320" w:top="1440" w:right="319" w:bottom="0" w:gutter="0" w:footer="0" w:header="0"/>
          <w:type w:val="continuous"/>
        </w:sectPr>
      </w:pPr>
    </w:p>
    <w:bookmarkStart w:id="4" w:name="page5"/>
    <w:bookmarkEnd w:id="4"/>
    <w:p>
      <w:pPr>
        <w:spacing w:after="0" w:line="229" w:lineRule="auto"/>
        <w:tabs>
          <w:tab w:leader="none" w:pos="115" w:val="left"/>
        </w:tabs>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229" w:lineRule="auto"/>
        <w:tabs>
          <w:tab w:leader="none" w:pos="115" w:val="left"/>
        </w:tabs>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9"/>
        </w:trPr>
        <w:tc>
          <w:tcPr>
            <w:tcW w:w="1540" w:type="dxa"/>
            <w:vAlign w:val="bottom"/>
            <w:tcBorders>
              <w:top w:val="single" w:sz="8" w:color="auto"/>
              <w:left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22"/>
                <w:szCs w:val="22"/>
                <w:b w:val="1"/>
                <w:bCs w:val="1"/>
                <w:color w:val="auto"/>
              </w:rPr>
              <w:t>Metal</w:t>
            </w:r>
          </w:p>
        </w:tc>
        <w:tc>
          <w:tcPr>
            <w:tcW w:w="3680" w:type="dxa"/>
            <w:vAlign w:val="bottom"/>
            <w:tcBorders>
              <w:top w:val="single" w:sz="8" w:color="auto"/>
              <w:right w:val="single" w:sz="8" w:color="auto"/>
            </w:tcBorders>
            <w:gridSpan w:val="2"/>
          </w:tcPr>
          <w:p>
            <w:pPr>
              <w:ind w:left="800"/>
              <w:spacing w:after="0"/>
              <w:rPr>
                <w:sz w:val="20"/>
                <w:szCs w:val="20"/>
                <w:color w:val="auto"/>
              </w:rPr>
            </w:pPr>
            <w:r>
              <w:rPr>
                <w:rFonts w:ascii="Times New Roman" w:cs="Times New Roman" w:eastAsia="Times New Roman" w:hAnsi="Times New Roman"/>
                <w:sz w:val="22"/>
                <w:szCs w:val="22"/>
                <w:b w:val="1"/>
                <w:bCs w:val="1"/>
                <w:color w:val="auto"/>
              </w:rPr>
              <w:t>Official Smelter Name</w:t>
            </w:r>
          </w:p>
        </w:tc>
        <w:tc>
          <w:tcPr>
            <w:tcW w:w="172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b w:val="1"/>
                <w:bCs w:val="1"/>
                <w:color w:val="auto"/>
              </w:rPr>
              <w:t>Smelter ID</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Conformant</w:t>
            </w:r>
          </w:p>
        </w:tc>
        <w:tc>
          <w:tcPr>
            <w:tcW w:w="248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22"/>
                <w:szCs w:val="22"/>
                <w:b w:val="1"/>
                <w:bCs w:val="1"/>
                <w:color w:val="auto"/>
              </w:rPr>
              <w:t>Smelter Location</w:t>
            </w:r>
          </w:p>
        </w:tc>
      </w:tr>
      <w:tr>
        <w:trPr>
          <w:trHeight w:val="373"/>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Smelter</w:t>
            </w:r>
            <w:r>
              <w:rPr>
                <w:rFonts w:ascii="Times New Roman" w:cs="Times New Roman" w:eastAsia="Times New Roman" w:hAnsi="Times New Roman"/>
                <w:sz w:val="28"/>
                <w:szCs w:val="28"/>
                <w:b w:val="1"/>
                <w:bCs w:val="1"/>
                <w:color w:val="auto"/>
                <w:w w:val="96"/>
                <w:vertAlign w:val="superscript"/>
              </w:rPr>
              <w:t>2</w:t>
            </w:r>
          </w:p>
        </w:tc>
        <w:tc>
          <w:tcPr>
            <w:tcW w:w="2480" w:type="dxa"/>
            <w:vAlign w:val="bottom"/>
            <w:tcBorders>
              <w:right w:val="single" w:sz="8" w:color="auto"/>
            </w:tcBorders>
          </w:tcPr>
          <w:p>
            <w:pPr>
              <w:spacing w:after="0"/>
              <w:rPr>
                <w:sz w:val="24"/>
                <w:szCs w:val="24"/>
                <w:color w:val="auto"/>
              </w:rPr>
            </w:pPr>
          </w:p>
        </w:tc>
      </w:tr>
      <w:tr>
        <w:trPr>
          <w:trHeight w:val="121"/>
        </w:trPr>
        <w:tc>
          <w:tcPr>
            <w:tcW w:w="1540" w:type="dxa"/>
            <w:vAlign w:val="bottom"/>
            <w:tcBorders>
              <w:left w:val="single" w:sz="8" w:color="auto"/>
              <w:bottom w:val="single" w:sz="8" w:color="auto"/>
              <w:right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Eco-System Recycling Co., Ltd. East</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CID000425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Plant</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Dowa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CID000401</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Chimet S.p.A.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CID000233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ITALY</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 Hafner GmbH + Co. KG</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CID000176</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GERMANY</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Boliden Ronnskar</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CID000157</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SWEDEN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Aurubis AG</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CID000113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GERMANY</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Asaka Riken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CID000090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ASAHI METALFINE, Inc.</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CID000082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Argor-Heraeus S.A.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CID000077</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SWITZERLAND</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AngloGold Ashanti Corrego do Sitio</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CID000058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BRAZIL</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Mineracao</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Agosi AG</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CID000035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GERMANY</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Aida Chemical Industries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CID000019</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Malaysia Smelting Corporation Berhad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CID004434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MALAYSIA</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(Port Klang)</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Mining Minerals Resources SARL</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CID004065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CONGO, DEMOCRATIC</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REPUBLIC OF THE</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PT Putera Sarana Shakti (PT PSS)</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CID003868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Fabrica Auricchio Industria e Comercio</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CID003582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BRAZIL</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Ltda.</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CRM Synergies</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CID003524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SPAIN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PT Mitra Sukses Globalindo</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CID003449</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Luna Smelter,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CID003387</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RWANDA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Tin Technology &amp; Refining</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CID003325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UNITED STATES OF</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AMERICA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Guangdong Hanhe Non-Ferrous Metal</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CID003116</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Co., Ltd.</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PT Bangka Prima Tin</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CID002776</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Aurubis Berango</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CID002774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SPAIN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Aurubis Beerse</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CID002773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BELGIUM</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PT Cipta Persada Mulia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CID002696</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PT ATD Makmur Mandiri Jaya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CID002503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64"/>
        </w:trPr>
        <w:tc>
          <w:tcPr>
            <w:tcW w:w="1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6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480" w:type="dxa"/>
            <w:vAlign w:val="bottom"/>
          </w:tcPr>
          <w:p>
            <w:pPr>
              <w:spacing w:after="0"/>
              <w:rPr>
                <w:sz w:val="22"/>
                <w:szCs w:val="22"/>
                <w:color w:val="auto"/>
              </w:rPr>
            </w:pPr>
          </w:p>
        </w:tc>
      </w:tr>
    </w:tbl>
    <w:p>
      <w:pPr>
        <w:spacing w:after="0" w:line="76" w:lineRule="exact"/>
        <w:rPr>
          <w:sz w:val="20"/>
          <w:szCs w:val="20"/>
          <w:color w:val="auto"/>
        </w:rPr>
      </w:pPr>
    </w:p>
    <w:p>
      <w:pPr>
        <w:sectPr>
          <w:pgSz w:w="11900" w:h="16838" w:orient="portrait"/>
          <w:cols w:equalWidth="0" w:num="1">
            <w:col w:w="11260"/>
          </w:cols>
          <w:pgMar w:left="320" w:top="146" w:right="319" w:bottom="0" w:gutter="0" w:footer="0" w:header="0"/>
        </w:sectPr>
      </w:pPr>
    </w:p>
    <w:p>
      <w:pPr>
        <w:ind w:right="760" w:firstLine="8"/>
        <w:spacing w:after="0" w:line="229" w:lineRule="auto"/>
        <w:tabs>
          <w:tab w:leader="none" w:pos="115" w:val="left"/>
        </w:tabs>
        <w:numPr>
          <w:ilvl w:val="0"/>
          <w:numId w:val="4"/>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Conformant refers to facilities that are listed by RMI as of May 2026 as conformant with RMAP protocols or certified or accredited by a similar independent assessment program cross-recognized by RMAP as confirmed by GreenSoft.</w:t>
      </w:r>
    </w:p>
    <w:p>
      <w:pPr>
        <w:sectPr>
          <w:pgSz w:w="11900" w:h="16838" w:orient="portrait"/>
          <w:cols w:equalWidth="0" w:num="1">
            <w:col w:w="11260"/>
          </w:cols>
          <w:pgMar w:left="320" w:top="146" w:right="319" w:bottom="0" w:gutter="0" w:footer="0" w:header="0"/>
          <w:type w:val="continuous"/>
        </w:sectPr>
      </w:pPr>
    </w:p>
    <w:bookmarkStart w:id="7" w:name="page8"/>
    <w:bookmarkEnd w:id="7"/>
    <w:p>
      <w:pPr>
        <w:spacing w:after="0" w:line="229" w:lineRule="auto"/>
        <w:tabs>
          <w:tab w:leader="none" w:pos="115" w:val="left"/>
        </w:tabs>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spacing w:after="0" w:line="229" w:lineRule="auto"/>
        <w:tabs>
          <w:tab w:leader="none" w:pos="115" w:val="left"/>
        </w:tabs>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540" w:type="dxa"/>
            <w:vAlign w:val="bottom"/>
            <w:tcBorders>
              <w:top w:val="single" w:sz="8" w:color="auto"/>
              <w:left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22"/>
                <w:szCs w:val="22"/>
                <w:b w:val="1"/>
                <w:bCs w:val="1"/>
                <w:color w:val="auto"/>
              </w:rPr>
              <w:t>Metal</w:t>
            </w:r>
          </w:p>
        </w:tc>
        <w:tc>
          <w:tcPr>
            <w:tcW w:w="3680" w:type="dxa"/>
            <w:vAlign w:val="bottom"/>
            <w:tcBorders>
              <w:top w:val="single" w:sz="8" w:color="auto"/>
              <w:right w:val="single" w:sz="8" w:color="auto"/>
            </w:tcBorders>
            <w:gridSpan w:val="2"/>
          </w:tcPr>
          <w:p>
            <w:pPr>
              <w:ind w:left="800"/>
              <w:spacing w:after="0"/>
              <w:rPr>
                <w:sz w:val="20"/>
                <w:szCs w:val="20"/>
                <w:color w:val="auto"/>
              </w:rPr>
            </w:pPr>
            <w:r>
              <w:rPr>
                <w:rFonts w:ascii="Times New Roman" w:cs="Times New Roman" w:eastAsia="Times New Roman" w:hAnsi="Times New Roman"/>
                <w:sz w:val="22"/>
                <w:szCs w:val="22"/>
                <w:b w:val="1"/>
                <w:bCs w:val="1"/>
                <w:color w:val="auto"/>
              </w:rPr>
              <w:t>Official Smelter Name</w:t>
            </w:r>
          </w:p>
        </w:tc>
        <w:tc>
          <w:tcPr>
            <w:tcW w:w="172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b w:val="1"/>
                <w:bCs w:val="1"/>
                <w:color w:val="auto"/>
              </w:rPr>
              <w:t>Smelter ID</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Conformant</w:t>
            </w:r>
          </w:p>
        </w:tc>
        <w:tc>
          <w:tcPr>
            <w:tcW w:w="248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22"/>
                <w:szCs w:val="22"/>
                <w:b w:val="1"/>
                <w:bCs w:val="1"/>
                <w:color w:val="auto"/>
              </w:rPr>
              <w:t>Smelter Location</w:t>
            </w:r>
          </w:p>
        </w:tc>
      </w:tr>
      <w:tr>
        <w:trPr>
          <w:trHeight w:val="373"/>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Smelter</w:t>
            </w:r>
            <w:r>
              <w:rPr>
                <w:rFonts w:ascii="Times New Roman" w:cs="Times New Roman" w:eastAsia="Times New Roman" w:hAnsi="Times New Roman"/>
                <w:sz w:val="28"/>
                <w:szCs w:val="28"/>
                <w:b w:val="1"/>
                <w:bCs w:val="1"/>
                <w:color w:val="auto"/>
                <w:w w:val="96"/>
                <w:vertAlign w:val="superscript"/>
              </w:rPr>
              <w:t>2</w:t>
            </w:r>
          </w:p>
        </w:tc>
        <w:tc>
          <w:tcPr>
            <w:tcW w:w="2480" w:type="dxa"/>
            <w:vAlign w:val="bottom"/>
            <w:tcBorders>
              <w:right w:val="single" w:sz="8" w:color="auto"/>
            </w:tcBorders>
          </w:tcPr>
          <w:p>
            <w:pPr>
              <w:spacing w:after="0"/>
              <w:rPr>
                <w:sz w:val="24"/>
                <w:szCs w:val="24"/>
                <w:color w:val="auto"/>
              </w:rPr>
            </w:pPr>
          </w:p>
        </w:tc>
      </w:tr>
      <w:tr>
        <w:trPr>
          <w:trHeight w:val="121"/>
        </w:trPr>
        <w:tc>
          <w:tcPr>
            <w:tcW w:w="1540" w:type="dxa"/>
            <w:vAlign w:val="bottom"/>
            <w:tcBorders>
              <w:left w:val="single" w:sz="8" w:color="auto"/>
              <w:bottom w:val="single" w:sz="8" w:color="auto"/>
              <w:right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Magnu's Minerais Metais e Ligas Ltda.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CID002468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BRAZIL</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w w:val="98"/>
              </w:rPr>
              <w:t>Tin Smelting Branch of Yunnan Tin Co.,</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CID002180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Ltd.</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Yunnan Chengfeng Non-ferrous Metals</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CID002158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Co., Ltd.</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White Solder Metalurgia e Mineracao</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CID002036</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BRAZIL</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Ltda.</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Thaisarco</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CID001898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THAILAND</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Rui Da Hung</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CID001539</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w w:val="97"/>
              </w:rPr>
              <w:t>TAIWAN, PROVINCE OF</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PT Timah Tbk Mentok</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CID001482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PT Timah Tbk Kundur</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CID001477</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PT Prima Timah Utama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CID001458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PT Mitra Stania Prima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CID001453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Operaciones Metalurgicas S.A.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CID001337</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BOLIVIA</w:t>
            </w:r>
          </w:p>
        </w:tc>
      </w:tr>
      <w:tr>
        <w:trPr>
          <w:trHeight w:val="270"/>
        </w:trPr>
        <w:tc>
          <w:tcPr>
            <w:tcW w:w="1540" w:type="dxa"/>
            <w:vAlign w:val="bottom"/>
            <w:tcBorders>
              <w:left w:val="single" w:sz="8" w:color="auto"/>
              <w:right w:val="single" w:sz="8" w:color="auto"/>
            </w:tcBorders>
          </w:tcPr>
          <w:p>
            <w:pPr>
              <w:spacing w:after="0"/>
              <w:rPr>
                <w:sz w:val="23"/>
                <w:szCs w:val="23"/>
                <w:color w:val="auto"/>
              </w:rPr>
            </w:pPr>
          </w:p>
        </w:tc>
        <w:tc>
          <w:tcPr>
            <w:tcW w:w="1060" w:type="dxa"/>
            <w:vAlign w:val="bottom"/>
          </w:tcPr>
          <w:p>
            <w:pPr>
              <w:spacing w:after="0"/>
              <w:rPr>
                <w:sz w:val="23"/>
                <w:szCs w:val="23"/>
                <w:color w:val="auto"/>
              </w:rPr>
            </w:pPr>
          </w:p>
        </w:tc>
        <w:tc>
          <w:tcPr>
            <w:tcW w:w="2620" w:type="dxa"/>
            <w:vAlign w:val="bottom"/>
            <w:tcBorders>
              <w:right w:val="single" w:sz="8" w:color="auto"/>
            </w:tcBorders>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(PLURINATIONAL</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STATE OF)</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O.M. Manufacturing (Thailand) Co.,</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CID001314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THAILAND</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Ltd.</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Jiangxi New Nanshan Technology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CID001231</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Mitsubishi Materials Corporation</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CID001191</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Minsur</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CID001182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PERU</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Mineracao Taboca S.A.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CID001173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BRAZIL</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Metallic Resources, Inc.</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CID001142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UNITED STATES OF</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AMERICA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China Tin Group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CID001070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Gejiu Non-Ferrous Metal Processing</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CID000538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Co., Ltd.</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Fenix Metals</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CID000468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POLAND</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EM Vinto</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CID000438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BOLIVIA</w:t>
            </w:r>
          </w:p>
        </w:tc>
      </w:tr>
      <w:tr>
        <w:trPr>
          <w:trHeight w:val="270"/>
        </w:trPr>
        <w:tc>
          <w:tcPr>
            <w:tcW w:w="1540" w:type="dxa"/>
            <w:vAlign w:val="bottom"/>
            <w:tcBorders>
              <w:left w:val="single" w:sz="8" w:color="auto"/>
              <w:right w:val="single" w:sz="8" w:color="auto"/>
            </w:tcBorders>
          </w:tcPr>
          <w:p>
            <w:pPr>
              <w:spacing w:after="0"/>
              <w:rPr>
                <w:sz w:val="23"/>
                <w:szCs w:val="23"/>
                <w:color w:val="auto"/>
              </w:rPr>
            </w:pPr>
          </w:p>
        </w:tc>
        <w:tc>
          <w:tcPr>
            <w:tcW w:w="1060" w:type="dxa"/>
            <w:vAlign w:val="bottom"/>
          </w:tcPr>
          <w:p>
            <w:pPr>
              <w:spacing w:after="0"/>
              <w:rPr>
                <w:sz w:val="23"/>
                <w:szCs w:val="23"/>
                <w:color w:val="auto"/>
              </w:rPr>
            </w:pPr>
          </w:p>
        </w:tc>
        <w:tc>
          <w:tcPr>
            <w:tcW w:w="2620" w:type="dxa"/>
            <w:vAlign w:val="bottom"/>
            <w:tcBorders>
              <w:right w:val="single" w:sz="8" w:color="auto"/>
            </w:tcBorders>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(PLURINATIONAL</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STATE OF)</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Dowa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CID000402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PT Premium Tin Indonesia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CID000313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Alpha Assembly Solutions Inc</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CID000292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UNITED STATES OF</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AMERICA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64"/>
        </w:trPr>
        <w:tc>
          <w:tcPr>
            <w:tcW w:w="1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6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480" w:type="dxa"/>
            <w:vAlign w:val="bottom"/>
          </w:tcPr>
          <w:p>
            <w:pPr>
              <w:spacing w:after="0"/>
              <w:rPr>
                <w:sz w:val="22"/>
                <w:szCs w:val="22"/>
                <w:color w:val="auto"/>
              </w:rPr>
            </w:pPr>
          </w:p>
        </w:tc>
      </w:tr>
    </w:tbl>
    <w:p>
      <w:pPr>
        <w:spacing w:after="0" w:line="76" w:lineRule="exact"/>
        <w:rPr>
          <w:sz w:val="20"/>
          <w:szCs w:val="20"/>
          <w:color w:val="auto"/>
        </w:rPr>
      </w:pPr>
    </w:p>
    <w:p>
      <w:pPr>
        <w:sectPr>
          <w:pgSz w:w="11900" w:h="16877" w:orient="portrait"/>
          <w:cols w:equalWidth="0" w:num="1">
            <w:col w:w="11260"/>
          </w:cols>
          <w:pgMar w:left="320" w:top="146" w:right="319" w:bottom="0" w:gutter="0" w:footer="0" w:header="0"/>
        </w:sectPr>
      </w:pPr>
    </w:p>
    <w:p>
      <w:pPr>
        <w:ind w:right="760" w:firstLine="8"/>
        <w:spacing w:after="0" w:line="229" w:lineRule="auto"/>
        <w:tabs>
          <w:tab w:leader="none" w:pos="115" w:val="left"/>
        </w:tabs>
        <w:numPr>
          <w:ilvl w:val="0"/>
          <w:numId w:val="5"/>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Conformant refers to facilities that are listed by RMI as of May 2026 as conformant with RMAP protocols or certified or accredited by a similar independent assessment program cross-recognized by RMAP as confirmed by GreenSoft.</w:t>
      </w:r>
    </w:p>
    <w:p>
      <w:pPr>
        <w:sectPr>
          <w:pgSz w:w="11900" w:h="16877" w:orient="portrait"/>
          <w:cols w:equalWidth="0" w:num="1">
            <w:col w:w="11260"/>
          </w:cols>
          <w:pgMar w:left="320" w:top="146" w:right="319" w:bottom="0" w:gutter="0" w:footer="0" w:header="0"/>
          <w:type w:val="continuous"/>
        </w:sectPr>
      </w:pPr>
    </w:p>
    <w:bookmarkStart w:id="10" w:name="page11"/>
    <w:bookmarkEnd w:id="10"/>
    <w:p>
      <w:pPr>
        <w:spacing w:after="0" w:line="229" w:lineRule="auto"/>
        <w:tabs>
          <w:tab w:leader="none" w:pos="115" w:val="left"/>
        </w:tabs>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540" w:type="dxa"/>
            <w:vAlign w:val="bottom"/>
            <w:tcBorders>
              <w:top w:val="single" w:sz="8" w:color="auto"/>
              <w:left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22"/>
                <w:szCs w:val="22"/>
                <w:b w:val="1"/>
                <w:bCs w:val="1"/>
                <w:color w:val="auto"/>
              </w:rPr>
              <w:t>Metal</w:t>
            </w:r>
          </w:p>
        </w:tc>
        <w:tc>
          <w:tcPr>
            <w:tcW w:w="3680" w:type="dxa"/>
            <w:vAlign w:val="bottom"/>
            <w:tcBorders>
              <w:top w:val="single" w:sz="8" w:color="auto"/>
              <w:right w:val="single" w:sz="8" w:color="auto"/>
            </w:tcBorders>
            <w:gridSpan w:val="2"/>
          </w:tcPr>
          <w:p>
            <w:pPr>
              <w:ind w:left="800"/>
              <w:spacing w:after="0"/>
              <w:rPr>
                <w:sz w:val="20"/>
                <w:szCs w:val="20"/>
                <w:color w:val="auto"/>
              </w:rPr>
            </w:pPr>
            <w:r>
              <w:rPr>
                <w:rFonts w:ascii="Times New Roman" w:cs="Times New Roman" w:eastAsia="Times New Roman" w:hAnsi="Times New Roman"/>
                <w:sz w:val="22"/>
                <w:szCs w:val="22"/>
                <w:b w:val="1"/>
                <w:bCs w:val="1"/>
                <w:color w:val="auto"/>
              </w:rPr>
              <w:t>Official Smelter Name</w:t>
            </w:r>
          </w:p>
        </w:tc>
        <w:tc>
          <w:tcPr>
            <w:tcW w:w="172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b w:val="1"/>
                <w:bCs w:val="1"/>
                <w:color w:val="auto"/>
              </w:rPr>
              <w:t>Smelter ID</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Conformant</w:t>
            </w:r>
          </w:p>
        </w:tc>
        <w:tc>
          <w:tcPr>
            <w:tcW w:w="248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22"/>
                <w:szCs w:val="22"/>
                <w:b w:val="1"/>
                <w:bCs w:val="1"/>
                <w:color w:val="auto"/>
              </w:rPr>
              <w:t>Smelter Location</w:t>
            </w:r>
          </w:p>
        </w:tc>
        <w:tc>
          <w:tcPr>
            <w:tcW w:w="0" w:type="dxa"/>
            <w:vAlign w:val="bottom"/>
          </w:tcPr>
          <w:p>
            <w:pPr>
              <w:spacing w:after="0"/>
              <w:rPr>
                <w:sz w:val="1"/>
                <w:szCs w:val="1"/>
                <w:color w:val="auto"/>
              </w:rPr>
            </w:pPr>
          </w:p>
        </w:tc>
      </w:tr>
      <w:tr>
        <w:trPr>
          <w:trHeight w:val="373"/>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Smelter</w:t>
            </w:r>
            <w:r>
              <w:rPr>
                <w:rFonts w:ascii="Times New Roman" w:cs="Times New Roman" w:eastAsia="Times New Roman" w:hAnsi="Times New Roman"/>
                <w:sz w:val="28"/>
                <w:szCs w:val="28"/>
                <w:b w:val="1"/>
                <w:bCs w:val="1"/>
                <w:color w:val="auto"/>
                <w:w w:val="96"/>
                <w:vertAlign w:val="superscript"/>
              </w:rPr>
              <w:t>2</w:t>
            </w: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540" w:type="dxa"/>
            <w:vAlign w:val="bottom"/>
            <w:tcBorders>
              <w:left w:val="single" w:sz="8" w:color="auto"/>
              <w:bottom w:val="single" w:sz="8" w:color="auto"/>
              <w:right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Chenzhou Yunxiang Mining and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CID000228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Metallurgy Co., Ltd.</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CV Ayi Jaya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Smelter ID not</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Unknown</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c>
          <w:tcPr>
            <w:tcW w:w="0" w:type="dxa"/>
            <w:vAlign w:val="bottom"/>
          </w:tcPr>
          <w:p>
            <w:pPr>
              <w:spacing w:after="0"/>
              <w:rPr>
                <w:sz w:val="1"/>
                <w:szCs w:val="1"/>
                <w:color w:val="auto"/>
              </w:rPr>
            </w:pP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listed</w:t>
            </w:r>
          </w:p>
        </w:tc>
        <w:tc>
          <w:tcPr>
            <w:tcW w:w="1840" w:type="dxa"/>
            <w:vAlign w:val="bottom"/>
            <w:tcBorders>
              <w:right w:val="single" w:sz="8" w:color="auto"/>
            </w:tcBorders>
            <w:vMerge w:val="continue"/>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PT Aries Kencana Sejahtera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Smelter ID not</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Unknown</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c>
          <w:tcPr>
            <w:tcW w:w="0" w:type="dxa"/>
            <w:vAlign w:val="bottom"/>
          </w:tcPr>
          <w:p>
            <w:pPr>
              <w:spacing w:after="0"/>
              <w:rPr>
                <w:sz w:val="1"/>
                <w:szCs w:val="1"/>
                <w:color w:val="auto"/>
              </w:rPr>
            </w:pP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listed</w:t>
            </w:r>
          </w:p>
        </w:tc>
        <w:tc>
          <w:tcPr>
            <w:tcW w:w="1840" w:type="dxa"/>
            <w:vAlign w:val="bottom"/>
            <w:tcBorders>
              <w:right w:val="single" w:sz="8" w:color="auto"/>
            </w:tcBorders>
            <w:vMerge w:val="continue"/>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PT Artha Cipta Langgeng</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Smelter ID not</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Unknown</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c>
          <w:tcPr>
            <w:tcW w:w="0" w:type="dxa"/>
            <w:vAlign w:val="bottom"/>
          </w:tcPr>
          <w:p>
            <w:pPr>
              <w:spacing w:after="0"/>
              <w:rPr>
                <w:sz w:val="1"/>
                <w:szCs w:val="1"/>
                <w:color w:val="auto"/>
              </w:rPr>
            </w:pP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listed</w:t>
            </w:r>
          </w:p>
        </w:tc>
        <w:tc>
          <w:tcPr>
            <w:tcW w:w="1840" w:type="dxa"/>
            <w:vAlign w:val="bottom"/>
            <w:tcBorders>
              <w:right w:val="single" w:sz="8" w:color="auto"/>
            </w:tcBorders>
            <w:vMerge w:val="continue"/>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China Molybdenum Tungsten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CID002641</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Niagara Refining LLC</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CID002589</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UNITED STATES OF</w:t>
            </w:r>
          </w:p>
        </w:tc>
        <w:tc>
          <w:tcPr>
            <w:tcW w:w="0" w:type="dxa"/>
            <w:vAlign w:val="bottom"/>
          </w:tcPr>
          <w:p>
            <w:pPr>
              <w:spacing w:after="0"/>
              <w:rPr>
                <w:sz w:val="1"/>
                <w:szCs w:val="1"/>
                <w:color w:val="auto"/>
              </w:rPr>
            </w:pP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AMERICA</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Jiangwu H.C. Starck Tungsten Products</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CID002551</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Co., Ltd.</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Masan High-Tech Materials</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CID002543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VIET NAM</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TANIOBIS Smelting GmbH &amp; Co. KG</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CID002542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H.C. Starck Tungsten GmbH</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CID002541</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Hunan Shizhuyuan Nonferrous Metals</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CID002513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270"/>
        </w:trPr>
        <w:tc>
          <w:tcPr>
            <w:tcW w:w="1540" w:type="dxa"/>
            <w:vAlign w:val="bottom"/>
            <w:tcBorders>
              <w:left w:val="single" w:sz="8" w:color="auto"/>
              <w:right w:val="single" w:sz="8" w:color="auto"/>
            </w:tcBorders>
          </w:tcPr>
          <w:p>
            <w:pPr>
              <w:spacing w:after="0"/>
              <w:rPr>
                <w:sz w:val="23"/>
                <w:szCs w:val="23"/>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Co., Ltd. Chenzhou Tungsten Products</w:t>
            </w:r>
          </w:p>
        </w:tc>
        <w:tc>
          <w:tcPr>
            <w:tcW w:w="1720" w:type="dxa"/>
            <w:vAlign w:val="bottom"/>
            <w:tcBorders>
              <w:right w:val="single" w:sz="8" w:color="auto"/>
            </w:tcBorders>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c>
          <w:tcPr>
            <w:tcW w:w="24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Branch</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Ganzhou Seadragon W &amp; Mo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CID002494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Jiangxi Gan Bei Tungsten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CID002321</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Xiamen Tungsten (H.C.)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CID002320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Jiangxi Yaosheng Tungsten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CID002316</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Ganzhou Jiangwu Ferrotungsten Co.,</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CID002315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Ltd.</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Xiamen Tungsten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CID002082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Wolfram Bergbau und Hutten AG</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CID002044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AUSTRIA</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Japan New Metals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CID000825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Global Tungsten &amp; Powders LLC</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CID000568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UNITED STATES OF</w:t>
            </w:r>
          </w:p>
        </w:tc>
        <w:tc>
          <w:tcPr>
            <w:tcW w:w="0" w:type="dxa"/>
            <w:vAlign w:val="bottom"/>
          </w:tcPr>
          <w:p>
            <w:pPr>
              <w:spacing w:after="0"/>
              <w:rPr>
                <w:sz w:val="1"/>
                <w:szCs w:val="1"/>
                <w:color w:val="auto"/>
              </w:rPr>
            </w:pP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AMERICA</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Chongyi Zhangyuan Tungsten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CID000258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6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1">
            <w:col w:w="11260"/>
          </w:cols>
          <w:pgMar w:left="320" w:top="1440" w:right="319" w:bottom="164" w:gutter="0" w:footer="0" w:header="0"/>
        </w:sectPr>
      </w:pPr>
    </w:p>
    <w:p>
      <w:pPr>
        <w:ind w:right="760" w:firstLine="8"/>
        <w:spacing w:after="0" w:line="229" w:lineRule="auto"/>
        <w:tabs>
          <w:tab w:leader="none" w:pos="115" w:val="left"/>
        </w:tabs>
        <w:numPr>
          <w:ilvl w:val="0"/>
          <w:numId w:val="6"/>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Conformant refers to facilities that are listed by RMI as of May 2026 as conformant with RMAP protocols or certified or accredited by a similar independent assessment program cross-recognized by RMAP as confirmed by GreenSoft.</w:t>
      </w:r>
    </w:p>
    <w:p>
      <w:pPr>
        <w:sectPr>
          <w:pgSz w:w="11900" w:h="16838" w:orient="portrait"/>
          <w:cols w:equalWidth="0" w:num="1">
            <w:col w:w="11260"/>
          </w:cols>
          <w:pgMar w:left="320" w:top="1440" w:right="319" w:bottom="164" w:gutter="0" w:footer="0" w:header="0"/>
          <w:type w:val="continuous"/>
        </w:sectPr>
      </w:pPr>
    </w:p>
    <w:bookmarkStart w:id="12" w:name="page13"/>
    <w:bookmarkEnd w:id="12"/>
    <w:p>
      <w:pPr>
        <w:spacing w:after="0" w:line="229" w:lineRule="auto"/>
        <w:tabs>
          <w:tab w:leader="none" w:pos="115" w:val="left"/>
        </w:tabs>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540" w:type="dxa"/>
            <w:vAlign w:val="bottom"/>
            <w:tcBorders>
              <w:top w:val="single" w:sz="8" w:color="auto"/>
              <w:left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22"/>
                <w:szCs w:val="22"/>
                <w:b w:val="1"/>
                <w:bCs w:val="1"/>
                <w:color w:val="auto"/>
              </w:rPr>
              <w:t>Metal</w:t>
            </w:r>
          </w:p>
        </w:tc>
        <w:tc>
          <w:tcPr>
            <w:tcW w:w="3680" w:type="dxa"/>
            <w:vAlign w:val="bottom"/>
            <w:tcBorders>
              <w:top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22"/>
                <w:szCs w:val="22"/>
                <w:b w:val="1"/>
                <w:bCs w:val="1"/>
                <w:color w:val="auto"/>
              </w:rPr>
              <w:t>Official Smelter Name</w:t>
            </w:r>
          </w:p>
        </w:tc>
        <w:tc>
          <w:tcPr>
            <w:tcW w:w="172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b w:val="1"/>
                <w:bCs w:val="1"/>
                <w:color w:val="auto"/>
              </w:rPr>
              <w:t>Smelter ID</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Conformant</w:t>
            </w:r>
          </w:p>
        </w:tc>
        <w:tc>
          <w:tcPr>
            <w:tcW w:w="248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22"/>
                <w:szCs w:val="22"/>
                <w:b w:val="1"/>
                <w:bCs w:val="1"/>
                <w:color w:val="auto"/>
              </w:rPr>
              <w:t>Smelter Location</w:t>
            </w:r>
          </w:p>
        </w:tc>
      </w:tr>
      <w:tr>
        <w:trPr>
          <w:trHeight w:val="373"/>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Smelter</w:t>
            </w:r>
            <w:r>
              <w:rPr>
                <w:rFonts w:ascii="Times New Roman" w:cs="Times New Roman" w:eastAsia="Times New Roman" w:hAnsi="Times New Roman"/>
                <w:sz w:val="28"/>
                <w:szCs w:val="28"/>
                <w:b w:val="1"/>
                <w:bCs w:val="1"/>
                <w:color w:val="auto"/>
                <w:w w:val="96"/>
                <w:vertAlign w:val="superscript"/>
              </w:rPr>
              <w:t>2</w:t>
            </w:r>
          </w:p>
        </w:tc>
        <w:tc>
          <w:tcPr>
            <w:tcW w:w="2480" w:type="dxa"/>
            <w:vAlign w:val="bottom"/>
            <w:tcBorders>
              <w:right w:val="single" w:sz="8" w:color="auto"/>
            </w:tcBorders>
          </w:tcPr>
          <w:p>
            <w:pPr>
              <w:spacing w:after="0"/>
              <w:rPr>
                <w:sz w:val="24"/>
                <w:szCs w:val="24"/>
                <w:color w:val="auto"/>
              </w:rPr>
            </w:pPr>
          </w:p>
        </w:tc>
      </w:tr>
      <w:tr>
        <w:trPr>
          <w:trHeight w:val="121"/>
        </w:trPr>
        <w:tc>
          <w:tcPr>
            <w:tcW w:w="1540" w:type="dxa"/>
            <w:vAlign w:val="bottom"/>
            <w:tcBorders>
              <w:left w:val="single" w:sz="8" w:color="auto"/>
              <w:bottom w:val="single" w:sz="8" w:color="auto"/>
              <w:right w:val="single" w:sz="8" w:color="auto"/>
            </w:tcBorders>
          </w:tcPr>
          <w:p>
            <w:pPr>
              <w:spacing w:after="0"/>
              <w:rPr>
                <w:sz w:val="10"/>
                <w:szCs w:val="10"/>
                <w:color w:val="auto"/>
              </w:rPr>
            </w:pPr>
          </w:p>
        </w:tc>
        <w:tc>
          <w:tcPr>
            <w:tcW w:w="368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Kennametal Huntsville</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CID000105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UNITED STATES OF</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AMERICA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368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A.L.M.T. Corp.</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CID000004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368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Steps to Improve Due Diligence</w:t>
      </w:r>
    </w:p>
    <w:p>
      <w:pPr>
        <w:spacing w:after="0" w:line="156"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22"/>
          <w:szCs w:val="22"/>
          <w:color w:val="auto"/>
        </w:rPr>
        <w:t>Quaker Houghton will continue to conduct supplier diligence regarding 3TG and will monitor its products and components to identify new products or components that may include any 3TG. Quaker Houghton will continue to monitor its supply chains to identify any new suppliers and to bring such suppliers within the scope of its conflict minerals programs. Quaker Houghton will maintain open lines of communication with its suppliers, so they are notified promptly if there are any changes in the source of the 3TG supplied to Quaker Houghton.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5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2"/>
          <w:szCs w:val="22"/>
          <w:color w:val="auto"/>
        </w:rPr>
        <w:t>This Conflict Minerals Report includes “forward-looking statements” within the meaning of Section 21E of the Securities Exchange Act of 1934, as amended, and Section 27A of the Securities Act of 1933, as amended, and such forward-looking statements involve risks and uncertainties. These forward-looking statements include, but are not limited to, statements relating to the Company’s intention to enhance its efforts to obtain from its suppliers complete, correct, and trustworthy information regarding the sources of the conflict minerals used in the Company’s products. These statements are subject to various risks, uncertainties and other factors, including, among other matters, the Company’s suppliers’ responsiveness and cooperation with the Company’s due diligence efforts, the Company’s ability to identify and mitigate risks in its supply chain, whether smelters and refiners and other market participants responsibly source conflict minerals, political and regulatory developments in the Covered Countries, the United States or elsewhere, and whether industry organizations and initiatives remain effective as a source of external guidance and support to us in the conflict minerals compliance process. Forward-looking statements are based on management’s current views, beliefs and expectations of future events based on certain assumptions. Forward-looking statements are not guarantees of future performance. We assume no obligation to revise or update any forward-looking statements for any reason,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16459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right="760" w:firstLine="8"/>
        <w:spacing w:after="0" w:line="229" w:lineRule="auto"/>
        <w:tabs>
          <w:tab w:leader="none" w:pos="115" w:val="left"/>
        </w:tabs>
        <w:numPr>
          <w:ilvl w:val="0"/>
          <w:numId w:val="7"/>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Conformant refers to facilities that are listed by RMI as of May 2026 as conformant with RMAP protocols or certified or accredited by a similar independent assessment program cross-recognized by RMAP as confirmed by GreenSoft.</w:t>
      </w:r>
    </w:p>
    <w:p>
      <w:pPr>
        <w:sectPr>
          <w:pgSz w:w="11900" w:h="16838" w:orient="portrait"/>
          <w:cols w:equalWidth="0" w:num="1">
            <w:col w:w="11260"/>
          </w:cols>
          <w:pgMar w:left="320" w:top="1440"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90170</wp:posOffset>
            </wp:positionV>
            <wp:extent cx="158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75"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246380</wp:posOffset>
            </wp:positionV>
            <wp:extent cx="15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QUAKER CHEMICAL CORPORATION</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253365</wp:posOffset>
            </wp:positionV>
            <wp:extent cx="15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87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jc w:val="center"/>
              <w:ind w:right="377"/>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51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8"/>
              </w:rPr>
              <w:t>23-0993790</w:t>
            </w:r>
          </w:p>
        </w:tc>
      </w:tr>
      <w:tr>
        <w:trPr>
          <w:trHeight w:val="193"/>
        </w:trPr>
        <w:tc>
          <w:tcPr>
            <w:tcW w:w="6080" w:type="dxa"/>
            <w:vAlign w:val="bottom"/>
          </w:tcPr>
          <w:p>
            <w:pPr>
              <w:jc w:val="center"/>
              <w:ind w:right="39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51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74"/>
        </w:trPr>
        <w:tc>
          <w:tcPr>
            <w:tcW w:w="6080" w:type="dxa"/>
            <w:vAlign w:val="bottom"/>
          </w:tcPr>
          <w:p>
            <w:pPr>
              <w:jc w:val="center"/>
              <w:ind w:right="397"/>
              <w:spacing w:after="0"/>
              <w:rPr>
                <w:sz w:val="20"/>
                <w:szCs w:val="20"/>
                <w:color w:val="auto"/>
              </w:rPr>
            </w:pPr>
            <w:r>
              <w:rPr>
                <w:rFonts w:ascii="Times New Roman" w:cs="Times New Roman" w:eastAsia="Times New Roman" w:hAnsi="Times New Roman"/>
                <w:sz w:val="18"/>
                <w:szCs w:val="18"/>
                <w:b w:val="1"/>
                <w:bCs w:val="1"/>
                <w:color w:val="auto"/>
                <w:w w:val="99"/>
              </w:rPr>
              <w:t>901 E. Hector Street,</w:t>
            </w:r>
          </w:p>
        </w:tc>
        <w:tc>
          <w:tcPr>
            <w:tcW w:w="5160" w:type="dxa"/>
            <w:vAlign w:val="bottom"/>
          </w:tcPr>
          <w:p>
            <w:pPr>
              <w:spacing w:after="0"/>
              <w:rPr>
                <w:sz w:val="24"/>
                <w:szCs w:val="24"/>
                <w:color w:val="auto"/>
              </w:rPr>
            </w:pPr>
          </w:p>
        </w:tc>
      </w:tr>
      <w:tr>
        <w:trPr>
          <w:trHeight w:val="238"/>
        </w:trPr>
        <w:tc>
          <w:tcPr>
            <w:tcW w:w="6080" w:type="dxa"/>
            <w:vAlign w:val="bottom"/>
          </w:tcPr>
          <w:p>
            <w:pPr>
              <w:jc w:val="center"/>
              <w:ind w:right="397"/>
              <w:spacing w:after="0"/>
              <w:rPr>
                <w:sz w:val="20"/>
                <w:szCs w:val="20"/>
                <w:color w:val="auto"/>
              </w:rPr>
            </w:pPr>
            <w:r>
              <w:rPr>
                <w:rFonts w:ascii="Times New Roman" w:cs="Times New Roman" w:eastAsia="Times New Roman" w:hAnsi="Times New Roman"/>
                <w:sz w:val="18"/>
                <w:szCs w:val="18"/>
                <w:b w:val="1"/>
                <w:bCs w:val="1"/>
                <w:color w:val="auto"/>
                <w:w w:val="99"/>
              </w:rPr>
              <w:t>Conshohocken, Pennsylvania</w:t>
            </w:r>
          </w:p>
        </w:tc>
        <w:tc>
          <w:tcPr>
            <w:tcW w:w="5160" w:type="dxa"/>
            <w:vAlign w:val="bottom"/>
          </w:tcPr>
          <w:p>
            <w:pPr>
              <w:spacing w:after="0"/>
              <w:rPr>
                <w:sz w:val="20"/>
                <w:szCs w:val="20"/>
                <w:color w:val="auto"/>
              </w:rPr>
            </w:pPr>
          </w:p>
        </w:tc>
      </w:tr>
      <w:tr>
        <w:trPr>
          <w:trHeight w:val="259"/>
        </w:trPr>
        <w:tc>
          <w:tcPr>
            <w:tcW w:w="6080" w:type="dxa"/>
            <w:vAlign w:val="bottom"/>
          </w:tcPr>
          <w:p>
            <w:pPr>
              <w:spacing w:after="0"/>
              <w:rPr>
                <w:sz w:val="22"/>
                <w:szCs w:val="22"/>
                <w:color w:val="auto"/>
              </w:rPr>
            </w:pPr>
          </w:p>
        </w:tc>
        <w:tc>
          <w:tcPr>
            <w:tcW w:w="51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8"/>
              </w:rPr>
              <w:t>19428-2380</w:t>
            </w:r>
          </w:p>
        </w:tc>
      </w:tr>
      <w:tr>
        <w:trPr>
          <w:trHeight w:val="190"/>
        </w:trPr>
        <w:tc>
          <w:tcPr>
            <w:tcW w:w="6080" w:type="dxa"/>
            <w:vAlign w:val="bottom"/>
          </w:tcPr>
          <w:p>
            <w:pPr>
              <w:jc w:val="center"/>
              <w:ind w:right="3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0"/>
        </w:trPr>
        <w:tc>
          <w:tcPr>
            <w:tcW w:w="60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-33655</wp:posOffset>
            </wp:positionV>
            <wp:extent cx="158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75" cy="8255"/>
                    </a:xfrm>
                    <a:prstGeom prst="rect">
                      <a:avLst/>
                    </a:prstGeom>
                    <a:noFill/>
                  </pic:spPr>
                </pic:pic>
              </a:graphicData>
            </a:graphic>
          </wp:anchor>
        </w:drawing>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Robert T. Traub, Esquire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General Counsel and Corporate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Phone Number: (610) 832-4000</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37" w:lineRule="exact"/>
        <w:rPr>
          <w:sz w:val="20"/>
          <w:szCs w:val="20"/>
          <w:color w:val="auto"/>
        </w:rPr>
      </w:pPr>
    </w:p>
    <w:p>
      <w:pPr>
        <w:ind w:left="380" w:hanging="372"/>
        <w:spacing w:after="0"/>
        <w:tabs>
          <w:tab w:leader="none" w:pos="380" w:val="left"/>
        </w:tabs>
        <w:numPr>
          <w:ilvl w:val="0"/>
          <w:numId w:val="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13p-1 under the Securities Exchange Act (17 CFR 240.13p-1) for the reporting period from January 1, 2025 to December 31, 2025.</w:t>
      </w:r>
    </w:p>
    <w:p>
      <w:pPr>
        <w:sectPr>
          <w:pgSz w:w="11900" w:h="16838" w:orient="portrait"/>
          <w:cols w:equalWidth="0" w:num="1">
            <w:col w:w="11240"/>
          </w:cols>
          <w:pgMar w:left="320" w:top="139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4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This Specialized Disclosure Report on Form SD (this “Form SD”) of Quaker Chemical Corporation (the “Company”) is filed pursuant to Rule 13p-1 promulgated under the Securities Exchange Act of 1934, as amended (the “Exchange Act”), for the reporting period January 1, 2025 to December 31, 2025. Pursuant to Rule 13p-1 and Section 13(p) of the Exchange Act, which implements Section 1502 of the Dodd-Frank Wall Street Reform and Consumer Protection Act, the Company is required to make certain inquiries and perform certain due diligence with respect to any “conflict minerals” (as defined by paragraph (d)(3) of Item 1.01 of Form SD) that are necessary to the functionality or production of a product manufactured (or contracted to be manufactured) by the Company or any of its subsidiaries.</w:t>
      </w:r>
    </w:p>
    <w:p>
      <w:pPr>
        <w:spacing w:after="0" w:line="21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 copy of the Company’s Conflict Minerals Report is provided as Exhibit 1.01 to this Form SD and is publicly available under the “Governance Overview” section under the “Investors” tab of the Company’s website at www.quakerhoughton.com. References to the Company’s website are provided for convenience only, and its contents are not incorporated by reference into this Form SD or the Conflict Minerals Report, nor are they deemed filed with the Securities and Exchange Commission.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Company’s Conflict Minerals Report is filed as Exhibit 1.01 to this Form SD.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63" w:lineRule="exact"/>
        <w:rPr>
          <w:sz w:val="20"/>
          <w:szCs w:val="20"/>
          <w:color w:val="auto"/>
        </w:rPr>
      </w:pPr>
    </w:p>
    <w:p>
      <w:pPr>
        <w:ind w:left="1620" w:right="240" w:hanging="1592"/>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Exhibit 1.01</w:t>
      </w:r>
      <w:r>
        <w:rPr>
          <w:sz w:val="20"/>
          <w:szCs w:val="20"/>
          <w:color w:val="auto"/>
        </w:rPr>
        <w:tab/>
      </w:r>
      <w:r>
        <w:rPr>
          <w:rFonts w:ascii="Times New Roman" w:cs="Times New Roman" w:eastAsia="Times New Roman" w:hAnsi="Times New Roman"/>
          <w:sz w:val="18"/>
          <w:szCs w:val="18"/>
          <w:u w:val="single" w:color="auto"/>
          <w:color w:val="0000FF"/>
        </w:rPr>
        <w:t>Conflict Minerals Report of Quaker Chemical Corporation for the period of January 1, 2025 to December 31, 2025, as required by Items 1.01 and 1.02 of this Form.</w:t>
      </w:r>
    </w:p>
    <w:p>
      <w:pPr>
        <w:sectPr>
          <w:pgSz w:w="11900" w:h="16838" w:orient="portrait"/>
          <w:cols w:equalWidth="0" w:num="1">
            <w:col w:w="11240"/>
          </w:cols>
          <w:pgMar w:left="320" w:top="1400" w:right="339" w:bottom="1440" w:gutter="0" w:footer="0" w:header="0"/>
        </w:sectPr>
      </w:pPr>
    </w:p>
    <w:bookmarkStart w:id="16" w:name="page17"/>
    <w:bookmarkEnd w:id="16"/>
    <w:p>
      <w:pPr>
        <w:spacing w:after="0" w:line="14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78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QUAKER CHEMICAL CORPORATION</w:t>
            </w:r>
          </w:p>
        </w:tc>
      </w:tr>
      <w:tr>
        <w:trPr>
          <w:trHeight w:val="499"/>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78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By:   /s/ Robert T. Traub</w:t>
            </w:r>
          </w:p>
        </w:tc>
      </w:tr>
      <w:tr>
        <w:trPr>
          <w:trHeight w:val="218"/>
        </w:trPr>
        <w:tc>
          <w:tcPr>
            <w:tcW w:w="2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T. Traub, Esquire</w:t>
            </w:r>
          </w:p>
        </w:tc>
      </w:tr>
      <w:tr>
        <w:trPr>
          <w:trHeight w:val="234"/>
        </w:trPr>
        <w:tc>
          <w:tcPr>
            <w:tcW w:w="2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tc>
      </w:tr>
    </w:tbl>
    <w:p>
      <w:pPr>
        <w:spacing w:after="0" w:line="1" w:lineRule="exact"/>
        <w:rPr>
          <w:sz w:val="20"/>
          <w:szCs w:val="20"/>
          <w:color w:val="auto"/>
        </w:rPr>
      </w:pPr>
    </w:p>
    <w:sectPr>
      <w:pgSz w:w="11900" w:h="16838" w:orient="portrait"/>
      <w:cols w:equalWidth="0" w:num="1">
        <w:col w:w="10420"/>
      </w:cols>
      <w:pgMar w:left="320" w:top="1440"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2"/>
      <w:numFmt w:val="bullet"/>
      <w:start w:val="1"/>
    </w:lvl>
  </w:abstractNum>
  <w:abstractNum w:abstractNumId="6">
    <w:nsid w:val="79E2A9E3"/>
    <w:multiLevelType w:val="hybridMultilevel"/>
    <w:lvl w:ilvl="0">
      <w:lvlJc w:val="left"/>
      <w:lvlText w:val="2"/>
      <w:numFmt w:val="bullet"/>
      <w:start w:val="1"/>
    </w:lvl>
  </w:abstractNum>
  <w:abstractNum w:abstractNumId="7">
    <w:nsid w:val="7545E146"/>
    <w:multiLevelType w:val="hybridMultilevel"/>
    <w:lvl w:ilvl="0">
      <w:lvlJc w:val="left"/>
      <w:lvlText w:val="x"/>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2026-05-28T06:52:50Z</dcterms:created>
  <dcterms:modified xsi:type="dcterms:W3CDTF">2026-05-28T06:52:50Z</dcterms:modified>
</cp:coreProperties>
</file>