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81663.xml.htm"/>
      <w:bookmarkStart w:id="1" w:name="kswkform4_178648166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Bijlani Jeewat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901 E. HECTOR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CONSHOHOCKEN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19428-2380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QUAKER CHEMICAL CORP</w:t>
              </w:r>
            </w:hyperlink>
            <w:r>
              <w:rPr/>
              <w:t xml:space="preserve"> [ </w:t>
            </w:r>
            <w:r>
              <w:rPr>
                <w:rFonts w:ascii="Times;serif" w:hAnsi="Times;serif"/>
                <w:color w:val="0000FF"/>
                <w:sz w:val="24"/>
                <w:shd w:fill="FFFFFF" w:val="clear"/>
              </w:rPr>
              <w:t>KWR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Glob. Spec. &amp; CGO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09"/>
        <w:gridCol w:w="459"/>
        <w:gridCol w:w="798"/>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w:t>
            </w:r>
            <w:r>
              <w:rPr>
                <w:rFonts w:ascii="Times;serif" w:hAnsi="Times;serif"/>
                <w:color w:val="008000"/>
                <w:position w:val="7"/>
                <w:sz w:val="16"/>
                <w:sz w:val="20"/>
                <w:shd w:fill="FFFFFF" w:val="clear"/>
              </w:rPr>
              <w:t>(1)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153.2</w:t>
            </w:r>
            <w:r>
              <w:rPr>
                <w:rFonts w:ascii="Times;serif" w:hAnsi="Times;serif"/>
                <w:color w:val="008000"/>
                <w:position w:val="7"/>
                <w:sz w:val="16"/>
                <w:sz w:val="20"/>
                <w:shd w:fill="FFFFFF" w:val="clear"/>
              </w:rPr>
              <w:t>(2)</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6,741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w:t>
            </w:r>
            <w:r>
              <w:rPr>
                <w:rFonts w:ascii="Times;serif" w:hAnsi="Times;serif"/>
                <w:color w:val="008000"/>
                <w:position w:val="7"/>
                <w:sz w:val="16"/>
                <w:sz w:val="20"/>
                <w:shd w:fill="FFFFFF" w:val="clear"/>
              </w:rPr>
              <w:t>(3)</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Certain shares beneficially owned by reporting person were escrowed to secure sellers' indemnification obligations related to the Issuer's acquisition of Global Houghton Ltd. The shares reported were forfeited in connection with the resolution of remaining indemnification claims and release of the escrow.</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Reported price is the volume-weighted average price used in calculations made under the escrow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Information based on reporting person's Plan Statement as of June 30,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Victoria K. Gehris, Attorney-in-Fact for Jeewat Bijlani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3821" TargetMode="External"/><Relationship Id="rId5" Type="http://schemas.openxmlformats.org/officeDocument/2006/relationships/hyperlink" Target="http://www.sec.gov/cgi-bin/browse-edgar?action=getcompany&amp;CIK=00000813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646</Words>
  <Characters>3550</Characters>
  <CharactersWithSpaces>4122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