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Meagher Kevin K.</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901 E. HECTOR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QUAKER CHEMICAL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KWR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96"/>
        <w:spacing w:after="0"/>
        <w:rPr>
          <w:sz w:val="20"/>
          <w:szCs w:val="20"/>
          <w:color w:val="auto"/>
        </w:rPr>
      </w:pPr>
      <w:r>
        <w:rPr>
          <w:rFonts w:ascii="Times New Roman" w:cs="Times New Roman" w:eastAsia="Times New Roman" w:hAnsi="Times New Roman"/>
          <w:sz w:val="17"/>
          <w:szCs w:val="17"/>
          <w:color w:val="0000FF"/>
        </w:rPr>
        <w:t>VP, R&amp;D - Advanced Solutions</w:t>
      </w:r>
    </w:p>
    <w:p>
      <w:pPr>
        <w:spacing w:after="0" w:line="319" w:lineRule="exact"/>
        <w:rPr>
          <w:sz w:val="24"/>
          <w:szCs w:val="24"/>
          <w:color w:val="auto"/>
        </w:rPr>
      </w:pPr>
    </w:p>
    <w:p>
      <w:pPr>
        <w:sectPr>
          <w:pgSz w:w="11900" w:h="16838" w:orient="portrait"/>
          <w:cols w:equalWidth="0" w:num="3">
            <w:col w:w="3200" w:space="720"/>
            <w:col w:w="3300" w:space="524"/>
            <w:col w:w="3336"/>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1580" w:type="dxa"/>
            <w:vAlign w:val="bottom"/>
            <w:tcBorders>
              <w:bottom w:val="single" w:sz="8" w:color="9A9A9A"/>
            </w:tcBorders>
          </w:tcPr>
          <w:p>
            <w:pPr>
              <w:spacing w:after="0"/>
              <w:rPr>
                <w:sz w:val="3"/>
                <w:szCs w:val="3"/>
                <w:color w:val="auto"/>
              </w:rPr>
            </w:pPr>
          </w:p>
        </w:tc>
        <w:tc>
          <w:tcPr>
            <w:tcW w:w="372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60" w:type="dxa"/>
            <w:vAlign w:val="bottom"/>
            <w:vMerge w:val="restart"/>
          </w:tcPr>
          <w:p>
            <w:pPr>
              <w:ind w:left="260"/>
              <w:spacing w:after="0"/>
              <w:rPr>
                <w:sz w:val="20"/>
                <w:szCs w:val="20"/>
                <w:color w:val="auto"/>
              </w:rPr>
            </w:pPr>
            <w:r>
              <w:rPr>
                <w:rFonts w:ascii="Arial" w:cs="Arial" w:eastAsia="Arial" w:hAnsi="Arial"/>
                <w:sz w:val="13"/>
                <w:szCs w:val="13"/>
                <w:color w:val="auto"/>
                <w:w w:val="99"/>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5300" w:type="dxa"/>
            <w:vAlign w:val="bottom"/>
            <w:gridSpan w:val="2"/>
          </w:tcPr>
          <w:p>
            <w:pPr>
              <w:ind w:left="1740"/>
              <w:spacing w:after="0" w:line="183" w:lineRule="exact"/>
              <w:rPr>
                <w:sz w:val="20"/>
                <w:szCs w:val="20"/>
                <w:color w:val="auto"/>
              </w:rPr>
            </w:pPr>
            <w:r>
              <w:rPr>
                <w:rFonts w:ascii="Times New Roman" w:cs="Times New Roman" w:eastAsia="Times New Roman" w:hAnsi="Times New Roman"/>
                <w:sz w:val="17"/>
                <w:szCs w:val="17"/>
                <w:color w:val="0000FF"/>
              </w:rPr>
              <w:t>03/17/2026</w:t>
            </w:r>
          </w:p>
        </w:tc>
        <w:tc>
          <w:tcPr>
            <w:tcW w:w="3260" w:type="dxa"/>
            <w:vAlign w:val="bottom"/>
          </w:tcPr>
          <w:p>
            <w:pPr>
              <w:ind w:left="26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CONSHOHOCKEN PA</w:t>
            </w:r>
          </w:p>
        </w:tc>
        <w:tc>
          <w:tcPr>
            <w:tcW w:w="1580" w:type="dxa"/>
            <w:vAlign w:val="bottom"/>
          </w:tcPr>
          <w:p>
            <w:pPr>
              <w:jc w:val="right"/>
              <w:ind w:right="202"/>
              <w:spacing w:after="0"/>
              <w:rPr>
                <w:sz w:val="20"/>
                <w:szCs w:val="20"/>
                <w:color w:val="auto"/>
              </w:rPr>
            </w:pPr>
            <w:r>
              <w:rPr>
                <w:rFonts w:ascii="Times New Roman" w:cs="Times New Roman" w:eastAsia="Times New Roman" w:hAnsi="Times New Roman"/>
                <w:sz w:val="17"/>
                <w:szCs w:val="17"/>
                <w:color w:val="0000FF"/>
              </w:rPr>
              <w:t>19428-2380</w:t>
            </w:r>
          </w:p>
        </w:tc>
        <w:tc>
          <w:tcPr>
            <w:tcW w:w="3720" w:type="dxa"/>
            <w:vAlign w:val="bottom"/>
          </w:tcPr>
          <w:p>
            <w:pPr>
              <w:spacing w:after="0"/>
              <w:rPr>
                <w:sz w:val="19"/>
                <w:szCs w:val="19"/>
                <w:color w:val="auto"/>
              </w:rPr>
            </w:pPr>
          </w:p>
        </w:tc>
        <w:tc>
          <w:tcPr>
            <w:tcW w:w="3260" w:type="dxa"/>
            <w:vAlign w:val="bottom"/>
          </w:tcPr>
          <w:p>
            <w:pPr>
              <w:ind w:left="8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3720" w:type="dxa"/>
            <w:vAlign w:val="bottom"/>
          </w:tcPr>
          <w:p>
            <w:pPr>
              <w:spacing w:after="0"/>
              <w:rPr>
                <w:sz w:val="13"/>
                <w:szCs w:val="13"/>
                <w:color w:val="auto"/>
              </w:rPr>
            </w:pPr>
          </w:p>
        </w:tc>
        <w:tc>
          <w:tcPr>
            <w:tcW w:w="3260" w:type="dxa"/>
            <w:vAlign w:val="bottom"/>
          </w:tcPr>
          <w:p>
            <w:pPr>
              <w:ind w:left="80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240" w:type="dxa"/>
            <w:vAlign w:val="bottom"/>
            <w:vMerge w:val="restart"/>
          </w:tcPr>
          <w:p>
            <w:pPr>
              <w:ind w:left="400"/>
              <w:spacing w:after="0"/>
              <w:rPr>
                <w:sz w:val="20"/>
                <w:szCs w:val="20"/>
                <w:color w:val="auto"/>
              </w:rPr>
            </w:pPr>
            <w:r>
              <w:rPr>
                <w:rFonts w:ascii="Arial" w:cs="Arial" w:eastAsia="Arial" w:hAnsi="Arial"/>
                <w:sz w:val="13"/>
                <w:szCs w:val="13"/>
                <w:color w:val="auto"/>
              </w:rPr>
              <w:t>(State)</w:t>
            </w:r>
          </w:p>
        </w:tc>
        <w:tc>
          <w:tcPr>
            <w:tcW w:w="5300" w:type="dxa"/>
            <w:vAlign w:val="bottom"/>
            <w:gridSpan w:val="2"/>
            <w:vMerge w:val="restart"/>
          </w:tcPr>
          <w:p>
            <w:pPr>
              <w:ind w:left="400"/>
              <w:spacing w:after="0"/>
              <w:rPr>
                <w:sz w:val="20"/>
                <w:szCs w:val="20"/>
                <w:color w:val="auto"/>
              </w:rPr>
            </w:pPr>
            <w:r>
              <w:rPr>
                <w:rFonts w:ascii="Arial" w:cs="Arial" w:eastAsia="Arial" w:hAnsi="Arial"/>
                <w:sz w:val="13"/>
                <w:szCs w:val="13"/>
                <w:color w:val="auto"/>
              </w:rPr>
              <w:t>(Zip)</w:t>
            </w:r>
          </w:p>
        </w:tc>
        <w:tc>
          <w:tcPr>
            <w:tcW w:w="3260" w:type="dxa"/>
            <w:vAlign w:val="bottom"/>
          </w:tcPr>
          <w:p>
            <w:pPr>
              <w:ind w:left="8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445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03/15/2026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445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445</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8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17, 2026, the Reporting Person filed a Form 4 that erroneously reported 297 time-based Restricted Stock Units ("RSUs") acquired under the Company's Long-Term Performance Incentive Plan. As reported in this amendment, the correct number of RSUs acquired was 445. RSUs represent a contingent right to receive one share of KWR common stock, and Dividend Equivalent Rights accrue when and as dividends are paid on KWR common stock. The RSUs will vest in three annual installments beginning on March 15, 2027.</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Victoria K. Gehris, Attorney-</w:t>
            </w:r>
          </w:p>
        </w:tc>
        <w:tc>
          <w:tcPr>
            <w:tcW w:w="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04/01/2026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in-Fact for Kevin K. Meagher</w:t>
            </w:r>
          </w:p>
        </w:tc>
        <w:tc>
          <w:tcPr>
            <w:tcW w:w="80" w:type="dxa"/>
            <w:vAlign w:val="bottom"/>
            <w:vMerge w:val="continue"/>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104522" TargetMode="External"/><Relationship Id="rId14" Type="http://schemas.openxmlformats.org/officeDocument/2006/relationships/hyperlink" Target="http://www.sec.gov/cgi-bin/browse-edgar?action=getcompany&amp;CIK=000008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2026-04-01T15:28:18Z</dcterms:created>
  <dcterms:modified xsi:type="dcterms:W3CDTF">2026-04-01T15:28:18Z</dcterms:modified>
</cp:coreProperties>
</file>