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488315</wp:posOffset>
            </wp:positionH>
            <wp:positionV relativeFrom="page">
              <wp:posOffset>517525</wp:posOffset>
            </wp:positionV>
            <wp:extent cx="657796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7965" cy="5715"/>
                    </a:xfrm>
                    <a:prstGeom prst="rect">
                      <a:avLst/>
                    </a:prstGeom>
                    <a:noFill/>
                  </pic:spPr>
                </pic:pic>
              </a:graphicData>
            </a:graphic>
          </wp:anchor>
        </w:drawing>
        <w:drawing>
          <wp:anchor simplePos="0" relativeHeight="251657728" behindDoc="1" locked="0" layoutInCell="0" allowOverlap="1">
            <wp:simplePos x="0" y="0"/>
            <wp:positionH relativeFrom="page">
              <wp:posOffset>488315</wp:posOffset>
            </wp:positionH>
            <wp:positionV relativeFrom="page">
              <wp:posOffset>534670</wp:posOffset>
            </wp:positionV>
            <wp:extent cx="65779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7965" cy="5715"/>
                    </a:xfrm>
                    <a:prstGeom prst="rect">
                      <a:avLst/>
                    </a:prstGeom>
                    <a:noFill/>
                  </pic:spPr>
                </pic:pic>
              </a:graphicData>
            </a:graphic>
          </wp:anchor>
        </w:drawing>
        <w:t>UNITED STATES</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9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1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CURRENT REPORT PURSUANT TO SECTION 13 OR 15(d) OF</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October 29, 2026</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QUAKER CHEMICAL CORPORATION</w:t>
      </w:r>
    </w:p>
    <w:p>
      <w:pPr>
        <w:spacing w:after="0" w:line="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07" w:lineRule="exact"/>
        <w:rPr>
          <w:sz w:val="24"/>
          <w:szCs w:val="24"/>
          <w:color w:val="auto"/>
        </w:rPr>
      </w:pPr>
    </w:p>
    <w:tbl>
      <w:tblPr>
        <w:tblLayout w:type="fixed"/>
        <w:tblInd w:w="234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4620" w:type="dxa"/>
            <w:vAlign w:val="bottom"/>
          </w:tcPr>
          <w:p>
            <w:pPr>
              <w:jc w:val="center"/>
              <w:ind w:right="1380"/>
              <w:spacing w:after="0"/>
              <w:rPr>
                <w:sz w:val="20"/>
                <w:szCs w:val="20"/>
                <w:color w:val="auto"/>
              </w:rPr>
            </w:pPr>
            <w:r>
              <w:rPr>
                <w:rFonts w:ascii="Times New Roman" w:cs="Times New Roman" w:eastAsia="Times New Roman" w:hAnsi="Times New Roman"/>
                <w:sz w:val="12"/>
                <w:szCs w:val="12"/>
                <w:b w:val="1"/>
                <w:bCs w:val="1"/>
                <w:color w:val="auto"/>
                <w:w w:val="99"/>
              </w:rPr>
              <w:t>Commission File Number 001-12019</w:t>
            </w:r>
          </w:p>
        </w:tc>
      </w:tr>
      <w:tr>
        <w:trPr>
          <w:trHeight w:val="288"/>
        </w:trPr>
        <w:tc>
          <w:tcPr>
            <w:tcW w:w="172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Pennsylvania</w:t>
            </w:r>
          </w:p>
        </w:tc>
        <w:tc>
          <w:tcPr>
            <w:tcW w:w="4620" w:type="dxa"/>
            <w:vAlign w:val="bottom"/>
          </w:tcPr>
          <w:p>
            <w:pPr>
              <w:jc w:val="center"/>
              <w:ind w:left="3660"/>
              <w:spacing w:after="0"/>
              <w:rPr>
                <w:sz w:val="20"/>
                <w:szCs w:val="20"/>
                <w:color w:val="auto"/>
              </w:rPr>
            </w:pPr>
            <w:r>
              <w:rPr>
                <w:rFonts w:ascii="Times New Roman" w:cs="Times New Roman" w:eastAsia="Times New Roman" w:hAnsi="Times New Roman"/>
                <w:sz w:val="12"/>
                <w:szCs w:val="12"/>
                <w:b w:val="1"/>
                <w:bCs w:val="1"/>
                <w:color w:val="auto"/>
                <w:w w:val="99"/>
              </w:rPr>
              <w:t>23-0993790</w:t>
            </w:r>
          </w:p>
        </w:tc>
      </w:tr>
      <w:tr>
        <w:trPr>
          <w:trHeight w:val="151"/>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4620" w:type="dxa"/>
            <w:vAlign w:val="bottom"/>
          </w:tcPr>
          <w:p>
            <w:pPr>
              <w:jc w:val="center"/>
              <w:ind w:left="366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172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incorporation)</w:t>
            </w:r>
          </w:p>
        </w:tc>
        <w:tc>
          <w:tcPr>
            <w:tcW w:w="4620" w:type="dxa"/>
            <w:vAlign w:val="bottom"/>
          </w:tcPr>
          <w:p>
            <w:pPr>
              <w:jc w:val="center"/>
              <w:ind w:left="366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82"/>
        </w:trPr>
        <w:tc>
          <w:tcPr>
            <w:tcW w:w="1720" w:type="dxa"/>
            <w:vAlign w:val="bottom"/>
          </w:tcPr>
          <w:p>
            <w:pPr>
              <w:spacing w:after="0"/>
              <w:rPr>
                <w:sz w:val="24"/>
                <w:szCs w:val="24"/>
                <w:color w:val="auto"/>
              </w:rPr>
            </w:pPr>
          </w:p>
        </w:tc>
        <w:tc>
          <w:tcPr>
            <w:tcW w:w="4620" w:type="dxa"/>
            <w:vAlign w:val="bottom"/>
          </w:tcPr>
          <w:p>
            <w:pPr>
              <w:jc w:val="center"/>
              <w:ind w:right="1400"/>
              <w:spacing w:after="0"/>
              <w:rPr>
                <w:sz w:val="20"/>
                <w:szCs w:val="20"/>
                <w:color w:val="auto"/>
              </w:rPr>
            </w:pPr>
            <w:r>
              <w:rPr>
                <w:rFonts w:ascii="Times New Roman" w:cs="Times New Roman" w:eastAsia="Times New Roman" w:hAnsi="Times New Roman"/>
                <w:sz w:val="12"/>
                <w:szCs w:val="12"/>
                <w:b w:val="1"/>
                <w:bCs w:val="1"/>
                <w:color w:val="auto"/>
                <w:w w:val="99"/>
              </w:rPr>
              <w:t>901 E. Hector Street</w:t>
            </w:r>
          </w:p>
        </w:tc>
      </w:tr>
      <w:tr>
        <w:trPr>
          <w:trHeight w:val="148"/>
        </w:trPr>
        <w:tc>
          <w:tcPr>
            <w:tcW w:w="1720" w:type="dxa"/>
            <w:vAlign w:val="bottom"/>
          </w:tcPr>
          <w:p>
            <w:pPr>
              <w:spacing w:after="0"/>
              <w:rPr>
                <w:sz w:val="12"/>
                <w:szCs w:val="12"/>
                <w:color w:val="auto"/>
              </w:rPr>
            </w:pPr>
          </w:p>
        </w:tc>
        <w:tc>
          <w:tcPr>
            <w:tcW w:w="4620" w:type="dxa"/>
            <w:vAlign w:val="bottom"/>
          </w:tcPr>
          <w:p>
            <w:pPr>
              <w:jc w:val="center"/>
              <w:ind w:right="1380"/>
              <w:spacing w:after="0"/>
              <w:rPr>
                <w:sz w:val="20"/>
                <w:szCs w:val="20"/>
                <w:color w:val="auto"/>
              </w:rPr>
            </w:pPr>
            <w:r>
              <w:rPr>
                <w:rFonts w:ascii="Times New Roman" w:cs="Times New Roman" w:eastAsia="Times New Roman" w:hAnsi="Times New Roman"/>
                <w:sz w:val="12"/>
                <w:szCs w:val="12"/>
                <w:b w:val="1"/>
                <w:bCs w:val="1"/>
                <w:color w:val="auto"/>
                <w:w w:val="99"/>
              </w:rPr>
              <w:t>Conshohocken, Pennsylvania 19428</w:t>
            </w:r>
          </w:p>
        </w:tc>
      </w:tr>
      <w:tr>
        <w:trPr>
          <w:trHeight w:val="144"/>
        </w:trPr>
        <w:tc>
          <w:tcPr>
            <w:tcW w:w="1720" w:type="dxa"/>
            <w:vAlign w:val="bottom"/>
          </w:tcPr>
          <w:p>
            <w:pPr>
              <w:spacing w:after="0"/>
              <w:rPr>
                <w:sz w:val="12"/>
                <w:szCs w:val="12"/>
                <w:color w:val="auto"/>
              </w:rPr>
            </w:pPr>
          </w:p>
        </w:tc>
        <w:tc>
          <w:tcPr>
            <w:tcW w:w="4620" w:type="dxa"/>
            <w:vAlign w:val="bottom"/>
          </w:tcPr>
          <w:p>
            <w:pPr>
              <w:jc w:val="center"/>
              <w:ind w:right="138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r>
      <w:tr>
        <w:trPr>
          <w:trHeight w:val="155"/>
        </w:trPr>
        <w:tc>
          <w:tcPr>
            <w:tcW w:w="1720" w:type="dxa"/>
            <w:vAlign w:val="bottom"/>
          </w:tcPr>
          <w:p>
            <w:pPr>
              <w:spacing w:after="0"/>
              <w:rPr>
                <w:sz w:val="13"/>
                <w:szCs w:val="13"/>
                <w:color w:val="auto"/>
              </w:rPr>
            </w:pPr>
          </w:p>
        </w:tc>
        <w:tc>
          <w:tcPr>
            <w:tcW w:w="4620" w:type="dxa"/>
            <w:vAlign w:val="bottom"/>
          </w:tcPr>
          <w:p>
            <w:pPr>
              <w:jc w:val="center"/>
              <w:ind w:right="1400"/>
              <w:spacing w:after="0"/>
              <w:rPr>
                <w:sz w:val="20"/>
                <w:szCs w:val="20"/>
                <w:color w:val="auto"/>
              </w:rPr>
            </w:pPr>
            <w:r>
              <w:rPr>
                <w:rFonts w:ascii="Times New Roman" w:cs="Times New Roman" w:eastAsia="Times New Roman" w:hAnsi="Times New Roman"/>
                <w:sz w:val="12"/>
                <w:szCs w:val="12"/>
                <w:color w:val="auto"/>
                <w:w w:val="98"/>
              </w:rPr>
              <w:t>(Zip Code)</w:t>
            </w:r>
          </w:p>
        </w:tc>
      </w:tr>
      <w:tr>
        <w:trPr>
          <w:trHeight w:val="205"/>
        </w:trPr>
        <w:tc>
          <w:tcPr>
            <w:tcW w:w="1720" w:type="dxa"/>
            <w:vAlign w:val="bottom"/>
          </w:tcPr>
          <w:p>
            <w:pPr>
              <w:spacing w:after="0"/>
              <w:rPr>
                <w:sz w:val="17"/>
                <w:szCs w:val="17"/>
                <w:color w:val="auto"/>
              </w:rPr>
            </w:pPr>
          </w:p>
        </w:tc>
        <w:tc>
          <w:tcPr>
            <w:tcW w:w="4620" w:type="dxa"/>
            <w:vAlign w:val="bottom"/>
          </w:tcPr>
          <w:p>
            <w:pPr>
              <w:jc w:val="center"/>
              <w:ind w:right="1400"/>
              <w:spacing w:after="0"/>
              <w:rPr>
                <w:sz w:val="20"/>
                <w:szCs w:val="20"/>
                <w:color w:val="auto"/>
              </w:rPr>
            </w:pPr>
            <w:r>
              <w:rPr>
                <w:rFonts w:ascii="Times New Roman" w:cs="Times New Roman" w:eastAsia="Times New Roman" w:hAnsi="Times New Roman"/>
                <w:sz w:val="12"/>
                <w:szCs w:val="12"/>
                <w:b w:val="1"/>
                <w:bCs w:val="1"/>
                <w:color w:val="auto"/>
              </w:rPr>
              <w:t>(610) 832-4000</w:t>
            </w:r>
          </w:p>
        </w:tc>
      </w:tr>
      <w:tr>
        <w:trPr>
          <w:trHeight w:val="155"/>
        </w:trPr>
        <w:tc>
          <w:tcPr>
            <w:tcW w:w="1720" w:type="dxa"/>
            <w:vAlign w:val="bottom"/>
          </w:tcPr>
          <w:p>
            <w:pPr>
              <w:spacing w:after="0"/>
              <w:rPr>
                <w:sz w:val="13"/>
                <w:szCs w:val="13"/>
                <w:color w:val="auto"/>
              </w:rPr>
            </w:pPr>
          </w:p>
        </w:tc>
        <w:tc>
          <w:tcPr>
            <w:tcW w:w="4620" w:type="dxa"/>
            <w:vAlign w:val="bottom"/>
          </w:tcPr>
          <w:p>
            <w:pPr>
              <w:jc w:val="center"/>
              <w:ind w:right="138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r>
    </w:tbl>
    <w:p>
      <w:pPr>
        <w:spacing w:after="0" w:line="5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900" w:hanging="424"/>
        <w:spacing w:after="0"/>
        <w:tabs>
          <w:tab w:leader="none" w:pos="90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23" w:lineRule="exact"/>
        <w:rPr>
          <w:rFonts w:ascii="Wingdings" w:cs="Wingdings" w:eastAsia="Wingdings" w:hAnsi="Wingdings"/>
          <w:sz w:val="12"/>
          <w:szCs w:val="12"/>
          <w:b w:val="1"/>
          <w:bCs w:val="1"/>
          <w:color w:val="auto"/>
        </w:rPr>
      </w:pPr>
    </w:p>
    <w:p>
      <w:pPr>
        <w:ind w:left="900" w:hanging="424"/>
        <w:spacing w:after="0"/>
        <w:tabs>
          <w:tab w:leader="none" w:pos="90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23" w:lineRule="exact"/>
        <w:rPr>
          <w:rFonts w:ascii="Wingdings" w:cs="Wingdings" w:eastAsia="Wingdings" w:hAnsi="Wingdings"/>
          <w:sz w:val="12"/>
          <w:szCs w:val="12"/>
          <w:b w:val="1"/>
          <w:bCs w:val="1"/>
          <w:color w:val="auto"/>
        </w:rPr>
      </w:pPr>
    </w:p>
    <w:p>
      <w:pPr>
        <w:ind w:left="900" w:hanging="424"/>
        <w:spacing w:after="0"/>
        <w:tabs>
          <w:tab w:leader="none" w:pos="90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23" w:lineRule="exact"/>
        <w:rPr>
          <w:rFonts w:ascii="Wingdings" w:cs="Wingdings" w:eastAsia="Wingdings" w:hAnsi="Wingdings"/>
          <w:sz w:val="12"/>
          <w:szCs w:val="12"/>
          <w:b w:val="1"/>
          <w:bCs w:val="1"/>
          <w:color w:val="auto"/>
        </w:rPr>
      </w:pPr>
    </w:p>
    <w:p>
      <w:pPr>
        <w:ind w:left="900" w:hanging="424"/>
        <w:spacing w:after="0"/>
        <w:tabs>
          <w:tab w:leader="none" w:pos="90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1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306"/>
        </w:trPr>
        <w:tc>
          <w:tcPr>
            <w:tcW w:w="460" w:type="dxa"/>
            <w:vAlign w:val="bottom"/>
          </w:tcPr>
          <w:p>
            <w:pPr>
              <w:spacing w:after="0"/>
              <w:rPr>
                <w:sz w:val="24"/>
                <w:szCs w:val="24"/>
                <w:color w:val="auto"/>
              </w:rPr>
            </w:pPr>
          </w:p>
        </w:tc>
        <w:tc>
          <w:tcPr>
            <w:tcW w:w="36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53"/>
        </w:trPr>
        <w:tc>
          <w:tcPr>
            <w:tcW w:w="460" w:type="dxa"/>
            <w:vAlign w:val="bottom"/>
          </w:tcPr>
          <w:p>
            <w:pPr>
              <w:spacing w:after="0"/>
              <w:rPr>
                <w:sz w:val="13"/>
                <w:szCs w:val="13"/>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$1 par value</w:t>
            </w:r>
          </w:p>
        </w:tc>
        <w:tc>
          <w:tcPr>
            <w:tcW w:w="60" w:type="dxa"/>
            <w:vAlign w:val="bottom"/>
          </w:tcPr>
          <w:p>
            <w:pPr>
              <w:spacing w:after="0"/>
              <w:rPr>
                <w:sz w:val="13"/>
                <w:szCs w:val="13"/>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KWR</w:t>
            </w:r>
          </w:p>
        </w:tc>
        <w:tc>
          <w:tcPr>
            <w:tcW w:w="80" w:type="dxa"/>
            <w:vAlign w:val="bottom"/>
          </w:tcPr>
          <w:p>
            <w:pPr>
              <w:spacing w:after="0"/>
              <w:rPr>
                <w:sz w:val="13"/>
                <w:szCs w:val="13"/>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New York Stock Exchange</w:t>
            </w:r>
          </w:p>
        </w:tc>
      </w:tr>
    </w:tbl>
    <w:p>
      <w:pPr>
        <w:spacing w:after="0" w:line="167"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3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453390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83185</wp:posOffset>
            </wp:positionV>
            <wp:extent cx="65779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77965" cy="571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100330</wp:posOffset>
            </wp:positionV>
            <wp:extent cx="65779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77965" cy="5715"/>
                    </a:xfrm>
                    <a:prstGeom prst="rect">
                      <a:avLst/>
                    </a:prstGeom>
                    <a:noFill/>
                  </pic:spPr>
                </pic:pic>
              </a:graphicData>
            </a:graphic>
          </wp:anchor>
        </w:drawing>
      </w:r>
    </w:p>
    <w:p>
      <w:pPr>
        <w:sectPr>
          <w:pgSz w:w="11900" w:h="16838" w:orient="portrait"/>
          <w:cols w:equalWidth="0" w:num="1">
            <w:col w:w="11200"/>
          </w:cols>
          <w:pgMar w:left="300" w:top="1006"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INFORMATION TO BE INCLUDED IN THE REPORT</w:t>
      </w:r>
    </w:p>
    <w:p>
      <w:pPr>
        <w:spacing w:after="0" w:line="13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27"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On October 29, 2026, Quaker Chemical Corporation announced its results of operations for the third quarter ended September 30, 2026 in a press release, the text of which is included as Exhibit 99.1 hereto. Supplemental information related to the same period is also included as Exhibit 99.2 hereto.</w:t>
      </w:r>
    </w:p>
    <w:p>
      <w:pPr>
        <w:spacing w:after="0" w:line="8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exhibits are included as part of this report: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20" w:type="dxa"/>
            <w:vAlign w:val="bottom"/>
            <w:tcBorders>
              <w:bottom w:val="single" w:sz="8" w:color="auto"/>
            </w:tcBorders>
          </w:tcPr>
          <w:p>
            <w:pPr>
              <w:spacing w:after="0"/>
              <w:rPr>
                <w:sz w:val="13"/>
                <w:szCs w:val="13"/>
                <w:color w:val="auto"/>
              </w:rPr>
            </w:pPr>
          </w:p>
        </w:tc>
        <w:tc>
          <w:tcPr>
            <w:tcW w:w="10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24"/>
        </w:trPr>
        <w:tc>
          <w:tcPr>
            <w:tcW w:w="2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FF"/>
              </w:rPr>
              <w:t>Press Release of Quaker Chemical Corporation dated October 29, 2026 (furnished herewith).</w:t>
            </w:r>
          </w:p>
        </w:tc>
      </w:tr>
      <w:tr>
        <w:trPr>
          <w:trHeight w:val="20"/>
        </w:trPr>
        <w:tc>
          <w:tcPr>
            <w:tcW w:w="2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14"/>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Supplemental Information related to the third quarter ended September 30, 2026 (furnished herewith).</w:t>
            </w:r>
          </w:p>
        </w:tc>
        <w:tc>
          <w:tcPr>
            <w:tcW w:w="5180" w:type="dxa"/>
            <w:vAlign w:val="bottom"/>
          </w:tcPr>
          <w:p>
            <w:pPr>
              <w:spacing w:after="0"/>
              <w:rPr>
                <w:sz w:val="18"/>
                <w:szCs w:val="18"/>
                <w:color w:val="auto"/>
              </w:rPr>
            </w:pPr>
          </w:p>
        </w:tc>
      </w:tr>
      <w:tr>
        <w:trPr>
          <w:trHeight w:val="232"/>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95"/>
        </w:trPr>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72"/>
        </w:trPr>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4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51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4"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40" w:type="dxa"/>
            <w:vAlign w:val="bottom"/>
          </w:tcPr>
          <w:p>
            <w:pPr>
              <w:spacing w:after="0"/>
              <w:rPr>
                <w:sz w:val="13"/>
                <w:szCs w:val="13"/>
                <w:color w:val="auto"/>
              </w:rPr>
            </w:pPr>
          </w:p>
        </w:tc>
        <w:tc>
          <w:tcPr>
            <w:tcW w:w="7220" w:type="dxa"/>
            <w:vAlign w:val="bottom"/>
            <w:gridSpan w:val="3"/>
          </w:tcPr>
          <w:p>
            <w:pPr>
              <w:ind w:left="2000"/>
              <w:spacing w:after="0"/>
              <w:rPr>
                <w:sz w:val="20"/>
                <w:szCs w:val="20"/>
                <w:color w:val="auto"/>
              </w:rPr>
            </w:pPr>
            <w:r>
              <w:rPr>
                <w:rFonts w:ascii="Times New Roman" w:cs="Times New Roman" w:eastAsia="Times New Roman" w:hAnsi="Times New Roman"/>
                <w:sz w:val="12"/>
                <w:szCs w:val="12"/>
                <w:color w:val="auto"/>
              </w:rPr>
              <w:t>QUAKER CHEMICAL CORPORATION</w:t>
            </w:r>
          </w:p>
        </w:tc>
      </w:tr>
      <w:tr>
        <w:trPr>
          <w:trHeight w:val="333"/>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Date: October 29, 2026</w:t>
            </w:r>
          </w:p>
        </w:tc>
        <w:tc>
          <w:tcPr>
            <w:tcW w:w="2320" w:type="dxa"/>
            <w:vAlign w:val="bottom"/>
          </w:tcPr>
          <w:p>
            <w:pPr>
              <w:ind w:left="2000"/>
              <w:spacing w:after="0"/>
              <w:rPr>
                <w:sz w:val="20"/>
                <w:szCs w:val="20"/>
                <w:color w:val="auto"/>
              </w:rPr>
            </w:pPr>
            <w:r>
              <w:rPr>
                <w:rFonts w:ascii="Times New Roman" w:cs="Times New Roman" w:eastAsia="Times New Roman" w:hAnsi="Times New Roman"/>
                <w:sz w:val="12"/>
                <w:szCs w:val="12"/>
                <w:color w:val="auto"/>
              </w:rPr>
              <w:t>By:</w:t>
            </w:r>
          </w:p>
        </w:tc>
        <w:tc>
          <w:tcPr>
            <w:tcW w:w="20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Thomas Coler</w:t>
            </w:r>
          </w:p>
        </w:tc>
      </w:tr>
      <w:tr>
        <w:trPr>
          <w:trHeight w:val="140"/>
        </w:trPr>
        <w:tc>
          <w:tcPr>
            <w:tcW w:w="3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Thomas Coler</w:t>
            </w:r>
          </w:p>
        </w:tc>
      </w:tr>
      <w:tr>
        <w:trPr>
          <w:trHeight w:val="155"/>
        </w:trPr>
        <w:tc>
          <w:tcPr>
            <w:tcW w:w="3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Chief Financial Officer</w:t>
            </w:r>
          </w:p>
        </w:tc>
      </w:tr>
      <w:tr>
        <w:trPr>
          <w:trHeight w:val="495"/>
        </w:trPr>
        <w:tc>
          <w:tcPr>
            <w:tcW w:w="3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900" w:type="dxa"/>
            <w:vAlign w:val="bottom"/>
            <w:gridSpan w:val="2"/>
          </w:tcPr>
          <w:p>
            <w:pPr>
              <w:jc w:val="right"/>
              <w:ind w:right="4620"/>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0360"/>
          </w:cols>
          <w:pgMar w:left="300" w:top="674"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-160020</wp:posOffset>
            </wp:positionV>
            <wp:extent cx="2148840" cy="468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8840" cy="46863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Contact: John Dalhoff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Director,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investor@quakerhoughton.com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 1.610.684.7822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Release: Immediate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6661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QUAKER HOUGHTON ANNOUNCES THIRD QUARTER 2026 RESULTS</w:t>
      </w:r>
    </w:p>
    <w:p>
      <w:pPr>
        <w:spacing w:after="0" w:line="82"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Q3’26 net sales of $544.5 million, an increase of 10% Y/Y</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Q3’26 net income of $30.0 million and earnings per diluted share of $1.73</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volumes increased 3% Y/Y primarily driven by new business wins across all segments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Q3’26 non-GAAP net income of $41.4 million and non-GAAP earnings per diluted share of $2.39, an increase of 15% Y/Y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Delivered Q3’26 adjusted EBITDA of $89.8 million, an 8% increase Y/Y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October 29, 2026</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500" w:type="dxa"/>
            <w:vAlign w:val="bottom"/>
            <w:gridSpan w:val="7"/>
          </w:tcPr>
          <w:p>
            <w:pPr>
              <w:spacing w:after="0"/>
              <w:rPr>
                <w:sz w:val="20"/>
                <w:szCs w:val="20"/>
                <w:color w:val="auto"/>
              </w:rPr>
            </w:pPr>
            <w:r>
              <w:rPr>
                <w:rFonts w:ascii="Times New Roman" w:cs="Times New Roman" w:eastAsia="Times New Roman" w:hAnsi="Times New Roman"/>
                <w:sz w:val="12"/>
                <w:szCs w:val="12"/>
                <w:b w:val="1"/>
                <w:bCs w:val="1"/>
                <w:color w:val="auto"/>
              </w:rPr>
              <w:t xml:space="preserve">CONSHOHOCKEN, PA </w:t>
            </w:r>
            <w:r>
              <w:rPr>
                <w:rFonts w:ascii="Times New Roman" w:cs="Times New Roman" w:eastAsia="Times New Roman" w:hAnsi="Times New Roman"/>
                <w:sz w:val="12"/>
                <w:szCs w:val="12"/>
                <w:color w:val="auto"/>
              </w:rPr>
              <w:t>– Quaker Houghton (“the Company”) (NYSE: KWR), the global leader in industrial process fluids, announced its third quarter 2026 results today.</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gridSpan w:val="3"/>
          </w:tcPr>
          <w:p>
            <w:pPr>
              <w:jc w:val="center"/>
              <w:ind w:left="48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3"/>
          </w:tcPr>
          <w:p>
            <w:pPr>
              <w:jc w:val="center"/>
              <w:ind w:left="480"/>
              <w:spacing w:after="0"/>
              <w:rPr>
                <w:sz w:val="20"/>
                <w:szCs w:val="20"/>
                <w:color w:val="auto"/>
              </w:rPr>
            </w:pPr>
            <w:r>
              <w:rPr>
                <w:rFonts w:ascii="Times New Roman" w:cs="Times New Roman" w:eastAsia="Times New Roman" w:hAnsi="Times New Roman"/>
                <w:sz w:val="12"/>
                <w:szCs w:val="12"/>
                <w:b w:val="1"/>
                <w:bCs w:val="1"/>
                <w:color w:val="auto"/>
                <w:w w:val="98"/>
              </w:rPr>
              <w:t>September 30,</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3"/>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w w:val="98"/>
              </w:rPr>
              <w:t>September 30,</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5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 in thousands, except per share data)</w:t>
            </w:r>
          </w:p>
        </w:tc>
        <w:tc>
          <w:tcPr>
            <w:tcW w:w="3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4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90"/>
        </w:trPr>
        <w:tc>
          <w:tcPr>
            <w:tcW w:w="54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544,548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493,842</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1,557,577</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1,420,156</w:t>
            </w:r>
          </w:p>
        </w:tc>
        <w:tc>
          <w:tcPr>
            <w:tcW w:w="0" w:type="dxa"/>
            <w:vAlign w:val="bottom"/>
          </w:tcPr>
          <w:p>
            <w:pPr>
              <w:spacing w:after="0"/>
              <w:rPr>
                <w:sz w:val="1"/>
                <w:szCs w:val="1"/>
                <w:color w:val="auto"/>
              </w:rPr>
            </w:pPr>
          </w:p>
        </w:tc>
      </w:tr>
      <w:tr>
        <w:trPr>
          <w:trHeight w:val="90"/>
        </w:trPr>
        <w:tc>
          <w:tcPr>
            <w:tcW w:w="54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attributable to Quaker Chemical Corporation</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29,977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30,469</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76,481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(23,189)</w:t>
            </w:r>
          </w:p>
        </w:tc>
        <w:tc>
          <w:tcPr>
            <w:tcW w:w="0" w:type="dxa"/>
            <w:vAlign w:val="bottom"/>
          </w:tcPr>
          <w:p>
            <w:pPr>
              <w:spacing w:after="0"/>
              <w:rPr>
                <w:sz w:val="1"/>
                <w:szCs w:val="1"/>
                <w:color w:val="auto"/>
              </w:rPr>
            </w:pPr>
          </w:p>
        </w:tc>
      </w:tr>
      <w:tr>
        <w:trPr>
          <w:trHeight w:val="90"/>
        </w:trPr>
        <w:tc>
          <w:tcPr>
            <w:tcW w:w="5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attributable to Quaker Chemical Corporation common shareholders – diluted</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0" w:type="dxa"/>
            <w:vAlign w:val="bottom"/>
          </w:tcPr>
          <w:p>
            <w:pPr>
              <w:spacing w:after="0"/>
              <w:rPr>
                <w:sz w:val="1"/>
                <w:szCs w:val="1"/>
                <w:color w:val="auto"/>
              </w:rPr>
            </w:pPr>
          </w:p>
        </w:tc>
      </w:tr>
      <w:tr>
        <w:trPr>
          <w:trHeight w:val="90"/>
        </w:trPr>
        <w:tc>
          <w:tcPr>
            <w:tcW w:w="54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Non-GAAP net income *</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41,411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36,270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107,688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94,298</w:t>
            </w:r>
          </w:p>
        </w:tc>
        <w:tc>
          <w:tcPr>
            <w:tcW w:w="0" w:type="dxa"/>
            <w:vAlign w:val="bottom"/>
          </w:tcPr>
          <w:p>
            <w:pPr>
              <w:spacing w:after="0"/>
              <w:rPr>
                <w:sz w:val="1"/>
                <w:szCs w:val="1"/>
                <w:color w:val="auto"/>
              </w:rPr>
            </w:pPr>
          </w:p>
        </w:tc>
      </w:tr>
      <w:tr>
        <w:trPr>
          <w:trHeight w:val="90"/>
        </w:trPr>
        <w:tc>
          <w:tcPr>
            <w:tcW w:w="5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earnings per diluted share *</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0" w:type="dxa"/>
            <w:vAlign w:val="bottom"/>
          </w:tcPr>
          <w:p>
            <w:pPr>
              <w:spacing w:after="0"/>
              <w:rPr>
                <w:sz w:val="1"/>
                <w:szCs w:val="1"/>
                <w:color w:val="auto"/>
              </w:rPr>
            </w:pPr>
          </w:p>
        </w:tc>
      </w:tr>
      <w:tr>
        <w:trPr>
          <w:trHeight w:val="90"/>
        </w:trPr>
        <w:tc>
          <w:tcPr>
            <w:tcW w:w="54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 *</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89,781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82,851</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247,477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227,377</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Refer to the Non-GAAP Measures and Reconciliations section below for additional information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Third Quarter 2026 Consolidated Results</w:t>
      </w:r>
    </w:p>
    <w:p>
      <w:pPr>
        <w:spacing w:after="0" w:line="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Net sales in the third quarter of 2026 were $544.5 million, an increase of 10% compared to $493.8 million in the third quarter of 2025. This increase was primarily driven by an improvement in selling price and product mix of 7% and an increase in sales volumes of 3%. The increase in selling price and product mix reflects pricing actions taken to offset higher raw material costs, as well as changes in the mix of products and services, and the impact of our index-based customer contracts. The increase in sales volumes compared to the prior year was primarily a result of new business wins across all segments.</w:t>
      </w:r>
    </w:p>
    <w:p>
      <w:pPr>
        <w:spacing w:after="0" w:line="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reported net income in the third quarter of 2026 of $30.0 million, or $1.73 per diluted share, compared to $30.5 million, or $1.75 per diluted share, in the third quarter of 2025. Excluding non-recurring and non-core items in each period, the Company’s non-GAAP net income and non-GAAP earnings per diluted share were $41.4 million and $2.39, respectively, in the third quarter of 2026 compared to $36.3 million and $2.08, respectively, in the third quarter of 2025. The Company generated adjusted EBITDA of $89.8 million in the third quarter of 2026, an increase of approximately 8% compared to $82.9 million in the third quarter of 2025, primarily driven by the increase in net sales, partially offset by higher input costs and SG&amp;A expenses. See the Non-GAAP Measures and Reconciliations section below for additional information.</w:t>
      </w:r>
    </w:p>
    <w:p>
      <w:pPr>
        <w:spacing w:after="0" w:line="5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Joe Berquist, Chief Executive Officer and President, commented, “Net sales increased 10% compared with the prior year, driven by new business wins across all segments, leading to a fifth consecutive quarter of year-over-year profitability improvement. Our results were led by strong growth in the Americas and improved operating earnings in EMEA despite end markets that remain challenged amid the backdrop of ongoing conflict in the Middle East. Asia Pacific continued to generate volume growth even as market conditions softened in China throughout the quarter. I am proud of our team’s consistent execution and ability to convert above-market growth into higher earnings, leading to our second consecutive quarter of record adjusted EBITDA.</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25" w:right="299" w:bottom="1440" w:gutter="0" w:footer="0" w:header="0"/>
        </w:sectPr>
      </w:pPr>
    </w:p>
    <w:bookmarkStart w:id="4" w:name="page5"/>
    <w:bookmarkEnd w:id="4"/>
    <w:p>
      <w:pPr>
        <w:ind w:right="40"/>
        <w:spacing w:after="0" w:line="257" w:lineRule="auto"/>
        <w:rPr>
          <w:sz w:val="20"/>
          <w:szCs w:val="20"/>
          <w:color w:val="auto"/>
        </w:rPr>
      </w:pPr>
      <w:r>
        <w:rPr>
          <w:rFonts w:ascii="Times New Roman" w:cs="Times New Roman" w:eastAsia="Times New Roman" w:hAnsi="Times New Roman"/>
          <w:sz w:val="12"/>
          <w:szCs w:val="12"/>
          <w:color w:val="auto"/>
        </w:rPr>
        <w:t>“Looking ahead, we anticipate fourth quarter revenue and adjusted EBITDA will improve year-over-year but decline sequentially from the third quarter’s record level in line with normal seasonal demand patterns from the holiday season in North America and EMEA. Activity in Asia is expected to remain soft in the fourth quarter as geopolitical and economic uncertainty have tempered industrial demand in China, and we anticipate global raw material costs will remain elevated through the end of the year as the conflict in the Middle East continues. We remain focused on advancing our transformation initiatives and carrying our positive earnings momentum into 2027.”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Third Quarter 2026 Segment Results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third quarter of 2026 operating performance for each of its three reportable segments: (i) Americas; (ii) EMEA; and (iii) Asia/Pacific, is further described below.</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6"/>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4"/>
          </w:tcPr>
          <w:p>
            <w:pPr>
              <w:ind w:left="620"/>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gridSpan w:val="4"/>
          </w:tcPr>
          <w:p>
            <w:pPr>
              <w:ind w:left="7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90"/>
        </w:trPr>
        <w:tc>
          <w:tcPr>
            <w:tcW w:w="1000" w:type="dxa"/>
            <w:vAlign w:val="bottom"/>
            <w:tcBorders>
              <w:bottom w:val="single" w:sz="8" w:color="CCEEFF"/>
            </w:tcBorders>
          </w:tcPr>
          <w:p>
            <w:pPr>
              <w:spacing w:after="0"/>
              <w:rPr>
                <w:sz w:val="7"/>
                <w:szCs w:val="7"/>
                <w:color w:val="auto"/>
              </w:rPr>
            </w:pPr>
          </w:p>
        </w:tc>
        <w:tc>
          <w:tcPr>
            <w:tcW w:w="1400" w:type="dxa"/>
            <w:vAlign w:val="bottom"/>
            <w:tcBorders>
              <w:bottom w:val="single" w:sz="8" w:color="CCEEFF"/>
            </w:tcBorders>
          </w:tcPr>
          <w:p>
            <w:pPr>
              <w:spacing w:after="0"/>
              <w:rPr>
                <w:sz w:val="7"/>
                <w:szCs w:val="7"/>
                <w:color w:val="auto"/>
              </w:rPr>
            </w:pPr>
          </w:p>
        </w:tc>
        <w:tc>
          <w:tcPr>
            <w:tcW w:w="118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5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 *</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0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5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Americas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254,030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222,787</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704,271</w:t>
            </w:r>
          </w:p>
        </w:tc>
        <w:tc>
          <w:tcPr>
            <w:tcW w:w="80" w:type="dxa"/>
            <w:vAlign w:val="bottom"/>
          </w:tcPr>
          <w:p>
            <w:pPr>
              <w:spacing w:after="0"/>
              <w:rPr>
                <w:sz w:val="14"/>
                <w:szCs w:val="14"/>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657,560</w:t>
            </w: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EMEA</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152,466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143,900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452,985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413,101</w:t>
            </w:r>
          </w:p>
        </w:tc>
        <w:tc>
          <w:tcPr>
            <w:tcW w:w="0" w:type="dxa"/>
            <w:vAlign w:val="bottom"/>
          </w:tcPr>
          <w:p>
            <w:pPr>
              <w:spacing w:after="0"/>
              <w:rPr>
                <w:sz w:val="1"/>
                <w:szCs w:val="1"/>
                <w:color w:val="auto"/>
              </w:rPr>
            </w:pPr>
          </w:p>
        </w:tc>
      </w:tr>
      <w:tr>
        <w:trPr>
          <w:trHeight w:val="90"/>
        </w:trPr>
        <w:tc>
          <w:tcPr>
            <w:tcW w:w="10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5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Asia/Pacific</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138,052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127,155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400,321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349,495</w:t>
            </w:r>
          </w:p>
        </w:tc>
        <w:tc>
          <w:tcPr>
            <w:tcW w:w="0" w:type="dxa"/>
            <w:vAlign w:val="bottom"/>
          </w:tcPr>
          <w:p>
            <w:pPr>
              <w:spacing w:after="0"/>
              <w:rPr>
                <w:sz w:val="1"/>
                <w:szCs w:val="1"/>
                <w:color w:val="auto"/>
              </w:rPr>
            </w:pPr>
          </w:p>
        </w:tc>
      </w:tr>
      <w:tr>
        <w:trPr>
          <w:trHeight w:val="90"/>
        </w:trPr>
        <w:tc>
          <w:tcPr>
            <w:tcW w:w="1000" w:type="dxa"/>
            <w:vAlign w:val="bottom"/>
            <w:tcBorders>
              <w:bottom w:val="single" w:sz="8" w:color="CCEEFF"/>
            </w:tcBorders>
          </w:tcPr>
          <w:p>
            <w:pPr>
              <w:spacing w:after="0"/>
              <w:rPr>
                <w:sz w:val="7"/>
                <w:szCs w:val="7"/>
                <w:color w:val="auto"/>
              </w:rPr>
            </w:pPr>
          </w:p>
        </w:tc>
        <w:tc>
          <w:tcPr>
            <w:tcW w:w="1400" w:type="dxa"/>
            <w:vAlign w:val="bottom"/>
            <w:tcBorders>
              <w:bottom w:val="single" w:sz="8" w:color="CCEEFF"/>
            </w:tcBorders>
          </w:tcPr>
          <w:p>
            <w:pPr>
              <w:spacing w:after="0"/>
              <w:rPr>
                <w:sz w:val="7"/>
                <w:szCs w:val="7"/>
                <w:color w:val="auto"/>
              </w:rPr>
            </w:pPr>
          </w:p>
        </w:tc>
        <w:tc>
          <w:tcPr>
            <w:tcW w:w="118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5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net sales</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544,548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493,842</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1,557,577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1,420,156</w:t>
            </w:r>
          </w:p>
        </w:tc>
        <w:tc>
          <w:tcPr>
            <w:tcW w:w="0" w:type="dxa"/>
            <w:vAlign w:val="bottom"/>
          </w:tcPr>
          <w:p>
            <w:pPr>
              <w:spacing w:after="0"/>
              <w:rPr>
                <w:sz w:val="1"/>
                <w:szCs w:val="1"/>
                <w:color w:val="auto"/>
              </w:rPr>
            </w:pPr>
          </w:p>
        </w:tc>
      </w:tr>
      <w:tr>
        <w:trPr>
          <w:trHeight w:val="92"/>
        </w:trPr>
        <w:tc>
          <w:tcPr>
            <w:tcW w:w="100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CCEEFF"/>
            </w:tcBorders>
            <w:shd w:val="clear" w:color="auto" w:fill="CCEEFF"/>
          </w:tcPr>
          <w:p>
            <w:pPr>
              <w:spacing w:after="0"/>
              <w:rPr>
                <w:sz w:val="8"/>
                <w:szCs w:val="8"/>
                <w:color w:val="auto"/>
              </w:rPr>
            </w:pPr>
          </w:p>
        </w:tc>
        <w:tc>
          <w:tcPr>
            <w:tcW w:w="1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5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5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Segment operating earnings *</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Americas</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65,657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58,913</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176,845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176,351</w:t>
            </w:r>
          </w:p>
        </w:tc>
        <w:tc>
          <w:tcPr>
            <w:tcW w:w="0" w:type="dxa"/>
            <w:vAlign w:val="bottom"/>
          </w:tcPr>
          <w:p>
            <w:pPr>
              <w:spacing w:after="0"/>
              <w:rPr>
                <w:sz w:val="1"/>
                <w:szCs w:val="1"/>
                <w:color w:val="auto"/>
              </w:rPr>
            </w:pPr>
          </w:p>
        </w:tc>
      </w:tr>
      <w:tr>
        <w:trPr>
          <w:trHeight w:val="90"/>
        </w:trPr>
        <w:tc>
          <w:tcPr>
            <w:tcW w:w="10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5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EMEA</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31,174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26,479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89,475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74,867</w:t>
            </w: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Asia/Pacific</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35,055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35,569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105,890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90,214</w:t>
            </w:r>
          </w:p>
        </w:tc>
        <w:tc>
          <w:tcPr>
            <w:tcW w:w="0" w:type="dxa"/>
            <w:vAlign w:val="bottom"/>
          </w:tcPr>
          <w:p>
            <w:pPr>
              <w:spacing w:after="0"/>
              <w:rPr>
                <w:sz w:val="1"/>
                <w:szCs w:val="1"/>
                <w:color w:val="auto"/>
              </w:rPr>
            </w:pPr>
          </w:p>
        </w:tc>
      </w:tr>
      <w:tr>
        <w:trPr>
          <w:trHeight w:val="90"/>
        </w:trPr>
        <w:tc>
          <w:tcPr>
            <w:tcW w:w="10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5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 segment operating earnings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131,886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120,961</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372,210</w:t>
            </w:r>
          </w:p>
        </w:tc>
        <w:tc>
          <w:tcPr>
            <w:tcW w:w="80" w:type="dxa"/>
            <w:vAlign w:val="bottom"/>
          </w:tcPr>
          <w:p>
            <w:pPr>
              <w:spacing w:after="0"/>
              <w:rPr>
                <w:sz w:val="14"/>
                <w:szCs w:val="14"/>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341,432</w:t>
            </w:r>
          </w:p>
        </w:tc>
        <w:tc>
          <w:tcPr>
            <w:tcW w:w="0" w:type="dxa"/>
            <w:vAlign w:val="bottom"/>
          </w:tcPr>
          <w:p>
            <w:pPr>
              <w:spacing w:after="0"/>
              <w:rPr>
                <w:sz w:val="1"/>
                <w:szCs w:val="1"/>
                <w:color w:val="auto"/>
              </w:rPr>
            </w:pPr>
          </w:p>
        </w:tc>
      </w:tr>
      <w:tr>
        <w:trPr>
          <w:trHeight w:val="72"/>
        </w:trPr>
        <w:tc>
          <w:tcPr>
            <w:tcW w:w="5640" w:type="dxa"/>
            <w:vAlign w:val="bottom"/>
            <w:gridSpan w:val="8"/>
            <w:vMerge w:val="restart"/>
          </w:tcPr>
          <w:p>
            <w:pPr>
              <w:spacing w:after="0"/>
              <w:rPr>
                <w:sz w:val="20"/>
                <w:szCs w:val="20"/>
                <w:color w:val="auto"/>
              </w:rPr>
            </w:pPr>
            <w:r>
              <w:rPr>
                <w:rFonts w:ascii="Times New Roman" w:cs="Times New Roman" w:eastAsia="Times New Roman" w:hAnsi="Times New Roman"/>
                <w:sz w:val="12"/>
                <w:szCs w:val="12"/>
                <w:i w:val="1"/>
                <w:iCs w:val="1"/>
                <w:color w:val="auto"/>
              </w:rPr>
              <w:t>* Refer to the Segment Measures and Reconciliations section below for additional information</w:t>
            </w: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640" w:type="dxa"/>
            <w:vAlign w:val="bottom"/>
            <w:gridSpan w:val="8"/>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640" w:type="dxa"/>
            <w:vAlign w:val="bottom"/>
            <w:gridSpan w:val="8"/>
            <w:vMerge w:val="continue"/>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400" w:type="dxa"/>
            <w:vAlign w:val="bottom"/>
            <w:gridSpan w:val="15"/>
          </w:tcPr>
          <w:p>
            <w:pPr>
              <w:spacing w:after="0"/>
              <w:rPr>
                <w:sz w:val="20"/>
                <w:szCs w:val="20"/>
                <w:color w:val="auto"/>
              </w:rPr>
            </w:pPr>
            <w:r>
              <w:rPr>
                <w:rFonts w:ascii="Times New Roman" w:cs="Times New Roman" w:eastAsia="Times New Roman" w:hAnsi="Times New Roman"/>
                <w:sz w:val="12"/>
                <w:szCs w:val="12"/>
                <w:color w:val="auto"/>
              </w:rPr>
              <w:t>The following table summarizes the sales variances by reportable segment and consolidated operations in the third quarter of 2026 compared to the third quarter of 2025: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Sales volumes</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Selling price &amp; product mix</w:t>
            </w:r>
          </w:p>
        </w:tc>
        <w:tc>
          <w:tcPr>
            <w:tcW w:w="180" w:type="dxa"/>
            <w:vAlign w:val="bottom"/>
          </w:tcPr>
          <w:p>
            <w:pPr>
              <w:spacing w:after="0"/>
              <w:rPr>
                <w:sz w:val="21"/>
                <w:szCs w:val="21"/>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Foreign currency</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Acquisition &amp; other</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00" w:type="dxa"/>
            <w:vAlign w:val="bottom"/>
            <w:tcBorders>
              <w:bottom w:val="single" w:sz="8" w:color="CCEEFF"/>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3"/>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gridSpan w:val="3"/>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Americas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6 %</w:t>
            </w:r>
          </w:p>
        </w:tc>
        <w:tc>
          <w:tcPr>
            <w:tcW w:w="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8 %</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14 %</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gridSpan w:val="3"/>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300" w:type="dxa"/>
            <w:vAlign w:val="bottom"/>
            <w:gridSpan w:val="3"/>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EMEA</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3"/>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gridSpan w:val="3"/>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Asia/Pacific</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1 %</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80" w:type="dxa"/>
            <w:vAlign w:val="bottom"/>
            <w:gridSpan w:val="3"/>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300" w:type="dxa"/>
            <w:vAlign w:val="bottom"/>
            <w:gridSpan w:val="3"/>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Consolidated</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Net sales in the Americas segment in the third quarter of 2026 increased 14% compared to the same period in 2025, due to an increase in sales volumes and an increase in selling price and product mix. Net sales in the Asia/Pacific segment increased 9% in the third quarter of 2026 compared to the same period in 2025, as a result of an increase in sales volumes, an increase in selling price and product mix, and a favorable impact of foreign currency translation. Net sales in the EMEA segment increased 6% in the third quarter of 2026 compared to the same period in 2025, due to an increase in selling price and product mix, partially offset by a decrease in sales volumes resulting from the reversal of pre-buy activity in the second quarter, and an unfavorable impact of foreign currency translation.</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Underlying end market activity in the third quarter of 2026 was flat to slightly lower than prior year levels, while new business wins across all segments led to year-over-year volume growth compared to the prior year quarter. The increase in selling price and product mix in the third quarter of 2026 compared to the same period in 2025 reflects pricing actions taken to offset higher raw material costs across all segments, as well as changes in the mix of products and services, and the impact of our index-based customer contracts.</w:t>
      </w:r>
    </w:p>
    <w:p>
      <w:pPr>
        <w:spacing w:after="0" w:line="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Consolidated net sales increased approximately 2% compared to the second quarter of 2026, driven by an increase in selling price and product mix across all segments and an increase in sales volumes in the Americas and Asia/Pacific segments, offset by a decrease in sales volumes in the EMEA segment.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750" w:right="299" w:bottom="1440" w:gutter="0" w:footer="0" w:header="0"/>
        </w:sectPr>
      </w:pPr>
    </w:p>
    <w:bookmarkStart w:id="5" w:name="page6"/>
    <w:bookmarkEnd w:id="5"/>
    <w:p>
      <w:pPr>
        <w:jc w:val="both"/>
        <w:spacing w:after="0" w:line="257" w:lineRule="auto"/>
        <w:rPr>
          <w:sz w:val="20"/>
          <w:szCs w:val="20"/>
          <w:color w:val="auto"/>
        </w:rPr>
      </w:pPr>
      <w:r>
        <w:rPr>
          <w:rFonts w:ascii="Times New Roman" w:cs="Times New Roman" w:eastAsia="Times New Roman" w:hAnsi="Times New Roman"/>
          <w:sz w:val="12"/>
          <w:szCs w:val="12"/>
          <w:color w:val="auto"/>
        </w:rPr>
        <w:t>Segment operating earnings for the EMEA segment increased compared to the prior year quarter, primarily due to an increase in net sales and an improvement in segment operating margins. Segment operating earnings for the Americas segment increased compared to the prior year quarter, primarily due to an increase in net sales, partially offset by lower segment operating margins and higher SG&amp;A. Segment operating earnings for the Asia/Pacific segment decreased compared to the prior year quarter primarily due to lower segment operating margins, partially offset by an increase in net sales. Segment operating earnings increased in the Americas segment in the third quarter of 2026 compared to the second quarter of 2026, primarily driven by an increase in net sales and improved segment operating margins. Segment operating earnings decreased in the EMEA and Asia/Pacific segments in the third quarter of 2026 compared to the second quarter of 2026, primarily driven by a decrease in net sales in the EMEA segment and lower segment operating margins in the Asia/Pacific segment driven by persistent input cost inflation.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Cash Flow and Liquidity Highlights</w:t>
      </w:r>
    </w:p>
    <w:p>
      <w:pPr>
        <w:spacing w:after="0" w:line="8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Net cash provided by operating activities was $47.6 million for the nine months ended September 30, 2026, compared to net cash provided by operating activities of $89.9 million for the same period in 2025. The Company’s decrease in operating cash flow year-over-year primarily reflects higher net cash outflows from working capital, partially offset by improved operating performance and lower outflows from restructuring activities.</w:t>
      </w:r>
    </w:p>
    <w:p>
      <w:pPr>
        <w:spacing w:after="0" w:line="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of September 30, 2026, the Company’s total gross debt was $894.6 million and its cash and cash equivalents was $167.0 million, which resulted in net debt of approximately $727.6 million. The Company’s net debt divided by its trailing twelve months adjusted EBITDA was approximately 2.3x. In the third quarter of 2026, the Company repurchased 21,781 shares for $3.3 million.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Non-GAAP Measures and Reconciliations</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information in this press release includes non-GAAP (unaudited) financial information that includes EBITDA, adjusted EBITDA, adjusted EBITDA margin, non-GAAP operating income, non-GAAP operating margin, non-GAAP gross profit, non-GAAP gross margin, taxes on income before equity in net income of associated companies – adjusted, non-GAAP net income and non-GAAP earnings per diluted share. The Company believes these non-GAAP financial measures provide meaningful supplemental information as they enhance a reader’s understanding of the financial performance of the Company, facilitate a comparison among fiscal periods, and exclude items that management believes are not indicative of future operating performance or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gross profit, non-GAAP gross margin, taxes on income before equity in net income of associated companies – adjusted, non-GAAP net income, and non-GAAP earnings per diluted share, as discussed and reconciled below to the most comparable GAAP measures, may not be comparable to similarly named measures reported by other companies.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Company presents EBITDA, which is calculated as net income attributable to the Company before depreciation and amortization, interest expense, and taxes on income before equity in net income of associated companies. The Company also presents adjusted EBITDA, which is calculated as EBITDA plus or minus certain items that management believes are not indicative of future operating performance or considered core to the Company’s operations. In addition, the Company presents non-GAAP operating income, which is calculated as operating income plus or minus certain items that management believes are not indicative of future operating performance or considered core to the Company’s operations. The Company also presents non-GAAP gross profit, which is calculated as gross profit plus or minus certain items that management believes are not indicative of future operating performance or considered core to the Company’s operations. Additionally, the Company presents non-GAAP Adjusted EBITDA margin, non-GAAP operating margin, and non-GAAP gross margin, which are calculated as the percentage of adjusted EBITDA, non-GAAP operating income, and non-GAAP gross profit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Additionally, the Company presents non-GAAP net income and non-GAAP earnings per diluted share as additional performance measures. Non-GAAP net income is calculated as adjusted EBITDA, defined above, less depreciation and amortization, interest expense,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performance of the Company on a consistent basis.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750" w:right="299" w:bottom="1440" w:gutter="0" w:footer="0" w:header="0"/>
        </w:sectPr>
      </w:pPr>
    </w:p>
    <w:bookmarkStart w:id="6" w:name="page7"/>
    <w:bookmarkEnd w:id="6"/>
    <w:p>
      <w:pPr>
        <w:jc w:val="both"/>
        <w:spacing w:after="0" w:line="260" w:lineRule="auto"/>
        <w:rPr>
          <w:sz w:val="20"/>
          <w:szCs w:val="20"/>
          <w:color w:val="auto"/>
        </w:rPr>
      </w:pPr>
      <w:r>
        <w:rPr>
          <w:rFonts w:ascii="Times New Roman" w:cs="Times New Roman" w:eastAsia="Times New Roman" w:hAnsi="Times New Roman"/>
          <w:sz w:val="12"/>
          <w:szCs w:val="12"/>
          <w:color w:val="auto"/>
        </w:rPr>
        <w:t>As it relates to future projections for the Company as well as other forward-looking information contained in this press release, the Company has not provided guidance for comparable GAAP measures or a quantitative reconciliation of forward-looking non-GAAP financial measures to the most directly comparable U.S. GAAP measure because it is unable to determine with reasonable certainty the ultimate outcome of certain significant items necessary to calculate such measures without unreasonable effort. These items include, but are not limited to, certain non-recurring or non-core items the Company may record that could materially impact net income. These items are uncertain, depend on various factors, and could have a material impact on the U.S. GAAP reported results for the guidance period.</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Company's reference to trailing twelve months adjusted EBITDA within this press release refers to the twelve-month period ended September 30, 2026 adjusted EBITDA of $319.3 million, which consists of (i) the nine months ended September 30, 2026 adjusted EBITDA of $247.5 million, as presented in the non-GAAP reconciliations below, and (ii) the twelve months ended December 31, 2025 adjusted EBITDA of $299.2 million, as presented in the non-GAAP reconciliations included in the Company's fourth quarter and full year 2025 results press release dated February 23, 2026, less (iii) the nine months ended September 30, 2025 adjusted EBITDA of $227.4 million, as presented in the non-GAAP reconciliations below.</w:t>
      </w:r>
    </w:p>
    <w:p>
      <w:pPr>
        <w:spacing w:after="0" w:line="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900" w:type="dxa"/>
            <w:vAlign w:val="bottom"/>
          </w:tcPr>
          <w:p>
            <w:pPr>
              <w:spacing w:after="0"/>
              <w:rPr>
                <w:sz w:val="12"/>
                <w:szCs w:val="12"/>
                <w:color w:val="auto"/>
              </w:rPr>
            </w:pPr>
          </w:p>
        </w:tc>
      </w:tr>
      <w:tr>
        <w:trPr>
          <w:trHeight w:val="159"/>
        </w:trPr>
        <w:tc>
          <w:tcPr>
            <w:tcW w:w="5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Non-GAAP Gross Profit and Margin Reconciliations</w:t>
            </w:r>
          </w:p>
        </w:tc>
        <w:tc>
          <w:tcPr>
            <w:tcW w:w="860" w:type="dxa"/>
            <w:vAlign w:val="bottom"/>
          </w:tcPr>
          <w:p>
            <w:pPr>
              <w:spacing w:after="0"/>
              <w:rPr>
                <w:sz w:val="13"/>
                <w:szCs w:val="13"/>
                <w:color w:val="auto"/>
              </w:rPr>
            </w:pPr>
          </w:p>
        </w:tc>
        <w:tc>
          <w:tcPr>
            <w:tcW w:w="148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900" w:type="dxa"/>
            <w:vAlign w:val="bottom"/>
          </w:tcPr>
          <w:p>
            <w:pPr>
              <w:spacing w:after="0"/>
              <w:rPr>
                <w:sz w:val="13"/>
                <w:szCs w:val="13"/>
                <w:color w:val="auto"/>
              </w:rPr>
            </w:pPr>
          </w:p>
        </w:tc>
      </w:tr>
      <w:tr>
        <w:trPr>
          <w:trHeight w:val="90"/>
        </w:trPr>
        <w:tc>
          <w:tcPr>
            <w:tcW w:w="54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151"/>
        </w:trPr>
        <w:tc>
          <w:tcPr>
            <w:tcW w:w="5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90"/>
        </w:trPr>
        <w:tc>
          <w:tcPr>
            <w:tcW w:w="540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15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86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7"/>
              </w:rPr>
              <w:t>193,523</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180,865</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559,462</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513,848</w:t>
            </w:r>
          </w:p>
        </w:tc>
      </w:tr>
      <w:tr>
        <w:trPr>
          <w:trHeight w:val="90"/>
        </w:trPr>
        <w:tc>
          <w:tcPr>
            <w:tcW w:w="54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r>
      <w:tr>
        <w:trPr>
          <w:trHeight w:val="162"/>
        </w:trPr>
        <w:tc>
          <w:tcPr>
            <w:tcW w:w="54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Acquisition-related step-up inventory amortization</w:t>
            </w:r>
          </w:p>
        </w:tc>
        <w:tc>
          <w:tcPr>
            <w:tcW w:w="8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6,022</w:t>
            </w:r>
          </w:p>
        </w:tc>
      </w:tr>
      <w:tr>
        <w:trPr>
          <w:trHeight w:val="90"/>
        </w:trPr>
        <w:tc>
          <w:tcPr>
            <w:tcW w:w="5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r>
      <w:tr>
        <w:trPr>
          <w:trHeight w:val="162"/>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Loss (gain) on inventory and other adjustments</w:t>
            </w:r>
          </w:p>
        </w:tc>
        <w:tc>
          <w:tcPr>
            <w:tcW w:w="8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671</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(2,933)</w:t>
            </w:r>
          </w:p>
        </w:tc>
      </w:tr>
      <w:tr>
        <w:trPr>
          <w:trHeight w:val="90"/>
        </w:trPr>
        <w:tc>
          <w:tcPr>
            <w:tcW w:w="5400" w:type="dxa"/>
            <w:vAlign w:val="bottom"/>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r>
      <w:tr>
        <w:trPr>
          <w:trHeight w:val="169"/>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Non-GAAP gross profit</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7"/>
              </w:rPr>
              <w:t>193,523</w:t>
            </w:r>
          </w:p>
        </w:tc>
        <w:tc>
          <w:tcPr>
            <w:tcW w:w="60" w:type="dxa"/>
            <w:vAlign w:val="bottom"/>
          </w:tcPr>
          <w:p>
            <w:pPr>
              <w:spacing w:after="0"/>
              <w:rPr>
                <w:sz w:val="14"/>
                <w:szCs w:val="14"/>
                <w:color w:val="auto"/>
              </w:rPr>
            </w:pPr>
          </w:p>
        </w:tc>
        <w:tc>
          <w:tcPr>
            <w:tcW w:w="86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181,536</w:t>
            </w:r>
          </w:p>
        </w:tc>
        <w:tc>
          <w:tcPr>
            <w:tcW w:w="80" w:type="dxa"/>
            <w:vAlign w:val="bottom"/>
          </w:tcPr>
          <w:p>
            <w:pPr>
              <w:spacing w:after="0"/>
              <w:rPr>
                <w:sz w:val="14"/>
                <w:szCs w:val="14"/>
                <w:color w:val="auto"/>
              </w:rPr>
            </w:pP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559,462</w:t>
            </w:r>
          </w:p>
        </w:tc>
        <w:tc>
          <w:tcPr>
            <w:tcW w:w="80" w:type="dxa"/>
            <w:vAlign w:val="bottom"/>
          </w:tcPr>
          <w:p>
            <w:pPr>
              <w:spacing w:after="0"/>
              <w:rPr>
                <w:sz w:val="14"/>
                <w:szCs w:val="14"/>
                <w:color w:val="auto"/>
              </w:rPr>
            </w:pP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516,937</w:t>
            </w:r>
          </w:p>
        </w:tc>
      </w:tr>
      <w:tr>
        <w:trPr>
          <w:trHeight w:val="88"/>
        </w:trPr>
        <w:tc>
          <w:tcPr>
            <w:tcW w:w="540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16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gross margin (%)</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35.5 %</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36.8 %</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35.9 %</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36.4 %</w:t>
            </w:r>
          </w:p>
        </w:tc>
      </w:tr>
      <w:tr>
        <w:trPr>
          <w:trHeight w:val="90"/>
        </w:trPr>
        <w:tc>
          <w:tcPr>
            <w:tcW w:w="54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r>
    </w:tbl>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3"/>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880" w:type="dxa"/>
            <w:vAlign w:val="bottom"/>
          </w:tcPr>
          <w:p>
            <w:pPr>
              <w:spacing w:after="0"/>
              <w:rPr>
                <w:sz w:val="12"/>
                <w:szCs w:val="12"/>
                <w:color w:val="auto"/>
              </w:rPr>
            </w:pPr>
          </w:p>
        </w:tc>
      </w:tr>
      <w:tr>
        <w:trPr>
          <w:trHeight w:val="159"/>
        </w:trPr>
        <w:tc>
          <w:tcPr>
            <w:tcW w:w="5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Non-GAAP Operating Income and Margin Reconciliations</w:t>
            </w:r>
          </w:p>
        </w:tc>
        <w:tc>
          <w:tcPr>
            <w:tcW w:w="880" w:type="dxa"/>
            <w:vAlign w:val="bottom"/>
          </w:tcPr>
          <w:p>
            <w:pPr>
              <w:spacing w:after="0"/>
              <w:rPr>
                <w:sz w:val="13"/>
                <w:szCs w:val="13"/>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80" w:type="dxa"/>
            <w:vAlign w:val="bottom"/>
            <w:gridSpan w:val="3"/>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80" w:type="dxa"/>
            <w:vAlign w:val="bottom"/>
          </w:tcPr>
          <w:p>
            <w:pPr>
              <w:spacing w:after="0"/>
              <w:rPr>
                <w:sz w:val="13"/>
                <w:szCs w:val="13"/>
                <w:color w:val="auto"/>
              </w:rPr>
            </w:pPr>
          </w:p>
        </w:tc>
      </w:tr>
      <w:tr>
        <w:trPr>
          <w:trHeight w:val="90"/>
        </w:trPr>
        <w:tc>
          <w:tcPr>
            <w:tcW w:w="540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r>
      <w:tr>
        <w:trPr>
          <w:trHeight w:val="151"/>
        </w:trPr>
        <w:tc>
          <w:tcPr>
            <w:tcW w:w="5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41"/>
              <w:spacing w:after="0"/>
              <w:rPr>
                <w:sz w:val="20"/>
                <w:szCs w:val="20"/>
                <w:color w:val="auto"/>
              </w:rPr>
            </w:pPr>
            <w:r>
              <w:rPr>
                <w:rFonts w:ascii="Times New Roman" w:cs="Times New Roman" w:eastAsia="Times New Roman" w:hAnsi="Times New Roman"/>
                <w:sz w:val="12"/>
                <w:szCs w:val="12"/>
                <w:b w:val="1"/>
                <w:bCs w:val="1"/>
                <w:color w:val="auto"/>
              </w:rPr>
              <w:t>2026</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jc w:val="right"/>
              <w:ind w:right="541"/>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90"/>
        </w:trPr>
        <w:tc>
          <w:tcPr>
            <w:tcW w:w="5400" w:type="dxa"/>
            <w:vAlign w:val="bottom"/>
            <w:tcBorders>
              <w:bottom w:val="single" w:sz="8" w:color="CCEEFF"/>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r>
      <w:tr>
        <w:trPr>
          <w:trHeight w:val="15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w:t>
            </w: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48,853</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46,641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1"/>
                <w:szCs w:val="11"/>
                <w:color w:val="auto"/>
              </w:rPr>
              <w:t>123,045</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1"/>
                <w:szCs w:val="11"/>
                <w:color w:val="auto"/>
              </w:rPr>
              <w:t>21,755</w:t>
            </w:r>
          </w:p>
        </w:tc>
      </w:tr>
      <w:tr>
        <w:trPr>
          <w:trHeight w:val="90"/>
        </w:trPr>
        <w:tc>
          <w:tcPr>
            <w:tcW w:w="54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r>
      <w:tr>
        <w:trPr>
          <w:trHeight w:val="162"/>
        </w:trPr>
        <w:tc>
          <w:tcPr>
            <w:tcW w:w="5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Acquisition-related step-up inventory amortization</w:t>
            </w:r>
          </w:p>
        </w:tc>
        <w:tc>
          <w:tcPr>
            <w:tcW w:w="88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6,022</w:t>
            </w:r>
          </w:p>
        </w:tc>
      </w:tr>
      <w:tr>
        <w:trPr>
          <w:trHeight w:val="90"/>
        </w:trPr>
        <w:tc>
          <w:tcPr>
            <w:tcW w:w="5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62"/>
        </w:trPr>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Restructuring and related charges, net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8,263</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7,745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1"/>
                <w:szCs w:val="11"/>
                <w:color w:val="auto"/>
              </w:rPr>
              <w:t>23,760</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1"/>
                <w:szCs w:val="11"/>
                <w:color w:val="auto"/>
              </w:rPr>
              <w:t>31,128</w:t>
            </w:r>
          </w:p>
        </w:tc>
      </w:tr>
      <w:tr>
        <w:trPr>
          <w:trHeight w:val="90"/>
        </w:trPr>
        <w:tc>
          <w:tcPr>
            <w:tcW w:w="54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r>
      <w:tr>
        <w:trPr>
          <w:trHeight w:val="162"/>
        </w:trPr>
        <w:tc>
          <w:tcPr>
            <w:tcW w:w="5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Acquisition-related expenses</w:t>
            </w:r>
          </w:p>
        </w:tc>
        <w:tc>
          <w:tcPr>
            <w:tcW w:w="880" w:type="dxa"/>
            <w:vAlign w:val="bottom"/>
          </w:tcPr>
          <w:p>
            <w:pPr>
              <w:spacing w:after="0"/>
              <w:rPr>
                <w:sz w:val="14"/>
                <w:szCs w:val="14"/>
                <w:color w:val="auto"/>
              </w:rPr>
            </w:pP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152</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642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1"/>
                <w:szCs w:val="11"/>
                <w:color w:val="auto"/>
              </w:rPr>
              <w:t>1,086</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1"/>
                <w:szCs w:val="11"/>
                <w:color w:val="auto"/>
              </w:rPr>
              <w:t>4,775</w:t>
            </w:r>
          </w:p>
        </w:tc>
      </w:tr>
      <w:tr>
        <w:trPr>
          <w:trHeight w:val="90"/>
        </w:trPr>
        <w:tc>
          <w:tcPr>
            <w:tcW w:w="5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62"/>
        </w:trPr>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Loss (gain) on inventory and other adjustments</w:t>
            </w:r>
          </w:p>
        </w:tc>
        <w:tc>
          <w:tcPr>
            <w:tcW w:w="8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671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(3,256)</w:t>
            </w:r>
          </w:p>
        </w:tc>
      </w:tr>
      <w:tr>
        <w:trPr>
          <w:trHeight w:val="90"/>
        </w:trPr>
        <w:tc>
          <w:tcPr>
            <w:tcW w:w="54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r>
      <w:tr>
        <w:trPr>
          <w:trHeight w:val="162"/>
        </w:trPr>
        <w:tc>
          <w:tcPr>
            <w:tcW w:w="5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Business transformation costs</w:t>
            </w:r>
          </w:p>
        </w:tc>
        <w:tc>
          <w:tcPr>
            <w:tcW w:w="880" w:type="dxa"/>
            <w:vAlign w:val="bottom"/>
          </w:tcPr>
          <w:p>
            <w:pPr>
              <w:spacing w:after="0"/>
              <w:rPr>
                <w:sz w:val="14"/>
                <w:szCs w:val="14"/>
                <w:color w:val="auto"/>
              </w:rPr>
            </w:pP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3,017</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8,789</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r>
      <w:tr>
        <w:trPr>
          <w:trHeight w:val="90"/>
        </w:trPr>
        <w:tc>
          <w:tcPr>
            <w:tcW w:w="5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62"/>
        </w:trPr>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Impairment charges</w:t>
            </w:r>
          </w:p>
        </w:tc>
        <w:tc>
          <w:tcPr>
            <w:tcW w:w="8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88,840</w:t>
            </w:r>
          </w:p>
        </w:tc>
      </w:tr>
      <w:tr>
        <w:trPr>
          <w:trHeight w:val="90"/>
        </w:trPr>
        <w:tc>
          <w:tcPr>
            <w:tcW w:w="54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r>
      <w:tr>
        <w:trPr>
          <w:trHeight w:val="162"/>
        </w:trPr>
        <w:tc>
          <w:tcPr>
            <w:tcW w:w="5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Duplicate headquarter lease costs</w:t>
            </w:r>
          </w:p>
        </w:tc>
        <w:tc>
          <w:tcPr>
            <w:tcW w:w="880" w:type="dxa"/>
            <w:vAlign w:val="bottom"/>
          </w:tcPr>
          <w:p>
            <w:pPr>
              <w:spacing w:after="0"/>
              <w:rPr>
                <w:sz w:val="14"/>
                <w:szCs w:val="14"/>
                <w:color w:val="auto"/>
              </w:rPr>
            </w:pP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1,156</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2,042</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r>
      <w:tr>
        <w:trPr>
          <w:trHeight w:val="90"/>
        </w:trPr>
        <w:tc>
          <w:tcPr>
            <w:tcW w:w="5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62"/>
        </w:trPr>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Acquisition-related depreciation and amortization</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1,585</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1,656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4,779</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3,337</w:t>
            </w:r>
          </w:p>
        </w:tc>
      </w:tr>
      <w:tr>
        <w:trPr>
          <w:trHeight w:val="90"/>
        </w:trPr>
        <w:tc>
          <w:tcPr>
            <w:tcW w:w="54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r>
      <w:tr>
        <w:trPr>
          <w:trHeight w:val="162"/>
        </w:trPr>
        <w:tc>
          <w:tcPr>
            <w:tcW w:w="5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charges</w:t>
            </w:r>
          </w:p>
        </w:tc>
        <w:tc>
          <w:tcPr>
            <w:tcW w:w="880" w:type="dxa"/>
            <w:vAlign w:val="bottom"/>
          </w:tcPr>
          <w:p>
            <w:pPr>
              <w:spacing w:after="0"/>
              <w:rPr>
                <w:sz w:val="14"/>
                <w:szCs w:val="14"/>
                <w:color w:val="auto"/>
              </w:rPr>
            </w:pP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109</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530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81"/>
              <w:spacing w:after="0"/>
              <w:rPr>
                <w:sz w:val="20"/>
                <w:szCs w:val="20"/>
                <w:color w:val="auto"/>
              </w:rPr>
            </w:pPr>
            <w:r>
              <w:rPr>
                <w:rFonts w:ascii="Times New Roman" w:cs="Times New Roman" w:eastAsia="Times New Roman" w:hAnsi="Times New Roman"/>
                <w:sz w:val="11"/>
                <w:szCs w:val="11"/>
                <w:color w:val="auto"/>
              </w:rPr>
              <w:t>270</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Times New Roman" w:cs="Times New Roman" w:eastAsia="Times New Roman" w:hAnsi="Times New Roman"/>
                <w:sz w:val="11"/>
                <w:szCs w:val="11"/>
                <w:color w:val="auto"/>
              </w:rPr>
              <w:t>1,695</w:t>
            </w:r>
          </w:p>
        </w:tc>
      </w:tr>
      <w:tr>
        <w:trPr>
          <w:trHeight w:val="90"/>
        </w:trPr>
        <w:tc>
          <w:tcPr>
            <w:tcW w:w="5400" w:type="dxa"/>
            <w:vAlign w:val="bottom"/>
            <w:tcBorders>
              <w:bottom w:val="single" w:sz="8" w:color="CCEEFF"/>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r>
      <w:tr>
        <w:trPr>
          <w:trHeight w:val="16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operating income</w:t>
            </w: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63,135</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57,885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1"/>
                <w:szCs w:val="11"/>
                <w:color w:val="auto"/>
              </w:rPr>
              <w:t>163,771</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1"/>
                <w:szCs w:val="11"/>
                <w:color w:val="auto"/>
              </w:rPr>
              <w:t>154,296</w:t>
            </w:r>
          </w:p>
        </w:tc>
      </w:tr>
      <w:tr>
        <w:trPr>
          <w:trHeight w:val="88"/>
        </w:trPr>
        <w:tc>
          <w:tcPr>
            <w:tcW w:w="540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r>
      <w:tr>
        <w:trPr>
          <w:trHeight w:val="162"/>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Non-GAAP operating margin (%)</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11.6 %</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11.7 %</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10.5 %</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10.9 %</w:t>
            </w:r>
          </w:p>
        </w:tc>
      </w:tr>
      <w:tr>
        <w:trPr>
          <w:trHeight w:val="585"/>
        </w:trPr>
        <w:tc>
          <w:tcPr>
            <w:tcW w:w="5400" w:type="dxa"/>
            <w:vAlign w:val="bottom"/>
          </w:tcPr>
          <w:p>
            <w:pPr>
              <w:spacing w:after="0"/>
              <w:rPr>
                <w:sz w:val="24"/>
                <w:szCs w:val="24"/>
                <w:color w:val="auto"/>
              </w:rPr>
            </w:pPr>
          </w:p>
        </w:tc>
        <w:tc>
          <w:tcPr>
            <w:tcW w:w="88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rPr>
              <w:t>4</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300"/>
          </w:cols>
          <w:pgMar w:left="300" w:top="750" w:right="29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3"/>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3"/>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3"/>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3"/>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53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EBITDA, Adjusted EBITDA, Adjusted EBITDA Margin and Non-GAAP Net Income Reconciliations</w:t>
            </w:r>
          </w:p>
        </w:tc>
        <w:tc>
          <w:tcPr>
            <w:tcW w:w="2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3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523"/>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ind w:right="523"/>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90"/>
        </w:trPr>
        <w:tc>
          <w:tcPr>
            <w:tcW w:w="534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attributable to Quaker Chemical Corporation</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29,977</w:t>
            </w:r>
          </w:p>
        </w:tc>
        <w:tc>
          <w:tcPr>
            <w:tcW w:w="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30,469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76,481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(23,189)</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 (a)</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25,620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24,436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77,085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69,187</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10,023</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10,941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29,775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33,265</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Taxes on income before equity in net income of associated companies (b)</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11,830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9,266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30,147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22,280</w:t>
            </w:r>
          </w:p>
        </w:tc>
        <w:tc>
          <w:tcPr>
            <w:tcW w:w="0" w:type="dxa"/>
            <w:vAlign w:val="bottom"/>
          </w:tcPr>
          <w:p>
            <w:pPr>
              <w:spacing w:after="0"/>
              <w:rPr>
                <w:sz w:val="1"/>
                <w:szCs w:val="1"/>
                <w:color w:val="auto"/>
              </w:rPr>
            </w:pPr>
          </w:p>
        </w:tc>
      </w:tr>
      <w:tr>
        <w:trPr>
          <w:trHeight w:val="90"/>
        </w:trPr>
        <w:tc>
          <w:tcPr>
            <w:tcW w:w="534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EBITDA</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77,450</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75,112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213,488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101,543</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Equity income in a captive insurance company</w:t>
            </w:r>
          </w:p>
        </w:tc>
        <w:tc>
          <w:tcPr>
            <w:tcW w:w="20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(1,175)</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(1,691)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(4,810)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(4,437)</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Acquisition-related step-up inventory amortization</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6,022</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Restructuring and related charges, net</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8,263</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7,745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23,760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31,128</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Acquisition-related expenses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152</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1,086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4,775</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Loss (gain) on inventory and other adjustments</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671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4"/>
                <w:szCs w:val="14"/>
                <w:color w:val="auto"/>
              </w:rPr>
            </w:pPr>
          </w:p>
        </w:tc>
        <w:tc>
          <w:tcPr>
            <w:tcW w:w="8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(3,256)</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Business transformation costs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3,017</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8,789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Pension and postretirement benefit costs, non-service components</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286</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469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863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1,351</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Impairment charges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88,840</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Product liability claim reimbursement</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Currency conversion impacts of hyper-inflationary economies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455</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886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1,210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2,073</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Loss on acquisition-related hedges</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1,351</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Loss (gain) on sale of assets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165</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(2,534)</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Multiemployer plan withdrawal charge</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923</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Brazilian non-income tax credits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(1,762)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(1,762)</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modification and extinguishment costs</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1,711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Duplicate headquarter lease costs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1,156</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2,042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charges (credits)</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1,360</w:t>
            </w:r>
          </w:p>
        </w:tc>
        <w:tc>
          <w:tcPr>
            <w:tcW w:w="0" w:type="dxa"/>
            <w:vAlign w:val="bottom"/>
          </w:tcPr>
          <w:p>
            <w:pPr>
              <w:spacing w:after="0"/>
              <w:rPr>
                <w:sz w:val="1"/>
                <w:szCs w:val="1"/>
                <w:color w:val="auto"/>
              </w:rPr>
            </w:pPr>
          </w:p>
        </w:tc>
      </w:tr>
      <w:tr>
        <w:trPr>
          <w:trHeight w:val="90"/>
        </w:trPr>
        <w:tc>
          <w:tcPr>
            <w:tcW w:w="534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89,781</w:t>
            </w:r>
          </w:p>
        </w:tc>
        <w:tc>
          <w:tcPr>
            <w:tcW w:w="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82,851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247,477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227,377</w:t>
            </w:r>
          </w:p>
        </w:tc>
        <w:tc>
          <w:tcPr>
            <w:tcW w:w="0" w:type="dxa"/>
            <w:vAlign w:val="bottom"/>
          </w:tcPr>
          <w:p>
            <w:pPr>
              <w:spacing w:after="0"/>
              <w:rPr>
                <w:sz w:val="1"/>
                <w:szCs w:val="1"/>
                <w:color w:val="auto"/>
              </w:rPr>
            </w:pPr>
          </w:p>
        </w:tc>
      </w:tr>
      <w:tr>
        <w:trPr>
          <w:trHeight w:val="88"/>
        </w:trPr>
        <w:tc>
          <w:tcPr>
            <w:tcW w:w="534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 margin (%)</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16.5 %</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16.8 %</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15.9 %</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16.0 %</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89,781</w:t>
            </w: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82,851</w:t>
            </w:r>
          </w:p>
        </w:tc>
        <w:tc>
          <w:tcPr>
            <w:tcW w:w="80" w:type="dxa"/>
            <w:vAlign w:val="bottom"/>
          </w:tcPr>
          <w:p>
            <w:pPr>
              <w:spacing w:after="0"/>
              <w:rPr>
                <w:sz w:val="14"/>
                <w:szCs w:val="14"/>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247,477</w:t>
            </w:r>
          </w:p>
        </w:tc>
        <w:tc>
          <w:tcPr>
            <w:tcW w:w="80" w:type="dxa"/>
            <w:vAlign w:val="bottom"/>
          </w:tcPr>
          <w:p>
            <w:pPr>
              <w:spacing w:after="0"/>
              <w:rPr>
                <w:sz w:val="14"/>
                <w:szCs w:val="14"/>
                <w:color w:val="auto"/>
              </w:rPr>
            </w:pPr>
          </w:p>
        </w:tc>
        <w:tc>
          <w:tcPr>
            <w:tcW w:w="52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227,377</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Depreciation and amortization (a)</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25,620</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24,436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77,085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69,187</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Interest expense</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10,023</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10,941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29,775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33,265</w:t>
            </w:r>
          </w:p>
        </w:tc>
        <w:tc>
          <w:tcPr>
            <w:tcW w:w="0" w:type="dxa"/>
            <w:vAlign w:val="bottom"/>
          </w:tcPr>
          <w:p>
            <w:pPr>
              <w:spacing w:after="0"/>
              <w:rPr>
                <w:sz w:val="1"/>
                <w:szCs w:val="1"/>
                <w:color w:val="auto"/>
              </w:rPr>
            </w:pPr>
          </w:p>
        </w:tc>
      </w:tr>
      <w:tr>
        <w:trPr>
          <w:trHeight w:val="90"/>
        </w:trPr>
        <w:tc>
          <w:tcPr>
            <w:tcW w:w="5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Less: Taxes on income before equity in net income of associated companies - adjusted (b)</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14,312</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12,860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37,708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33,964</w:t>
            </w:r>
          </w:p>
        </w:tc>
        <w:tc>
          <w:tcPr>
            <w:tcW w:w="0" w:type="dxa"/>
            <w:vAlign w:val="bottom"/>
          </w:tcPr>
          <w:p>
            <w:pPr>
              <w:spacing w:after="0"/>
              <w:rPr>
                <w:sz w:val="1"/>
                <w:szCs w:val="1"/>
                <w:color w:val="auto"/>
              </w:rPr>
            </w:pPr>
          </w:p>
        </w:tc>
      </w:tr>
      <w:tr>
        <w:trPr>
          <w:trHeight w:val="90"/>
        </w:trPr>
        <w:tc>
          <w:tcPr>
            <w:tcW w:w="5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Plus: Acquisition-related depreciation and amortization</w:t>
            </w:r>
          </w:p>
        </w:tc>
        <w:tc>
          <w:tcPr>
            <w:tcW w:w="200" w:type="dxa"/>
            <w:vAlign w:val="bottom"/>
          </w:tcPr>
          <w:p>
            <w:pPr>
              <w:spacing w:after="0"/>
              <w:rPr>
                <w:sz w:val="14"/>
                <w:szCs w:val="1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1,585</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1,656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4,779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3,337</w:t>
            </w:r>
          </w:p>
        </w:tc>
        <w:tc>
          <w:tcPr>
            <w:tcW w:w="0" w:type="dxa"/>
            <w:vAlign w:val="bottom"/>
          </w:tcPr>
          <w:p>
            <w:pPr>
              <w:spacing w:after="0"/>
              <w:rPr>
                <w:sz w:val="1"/>
                <w:szCs w:val="1"/>
                <w:color w:val="auto"/>
              </w:rPr>
            </w:pPr>
          </w:p>
        </w:tc>
      </w:tr>
      <w:tr>
        <w:trPr>
          <w:trHeight w:val="90"/>
        </w:trPr>
        <w:tc>
          <w:tcPr>
            <w:tcW w:w="534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net income</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41,411</w:t>
            </w:r>
          </w:p>
        </w:tc>
        <w:tc>
          <w:tcPr>
            <w:tcW w:w="7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36,270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107,688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94,298</w:t>
            </w:r>
          </w:p>
        </w:tc>
        <w:tc>
          <w:tcPr>
            <w:tcW w:w="0" w:type="dxa"/>
            <w:vAlign w:val="bottom"/>
          </w:tcPr>
          <w:p>
            <w:pPr>
              <w:spacing w:after="0"/>
              <w:rPr>
                <w:sz w:val="1"/>
                <w:szCs w:val="1"/>
                <w:color w:val="auto"/>
              </w:rPr>
            </w:pPr>
          </w:p>
        </w:tc>
      </w:tr>
      <w:tr>
        <w:trPr>
          <w:trHeight w:val="88"/>
        </w:trPr>
        <w:tc>
          <w:tcPr>
            <w:tcW w:w="534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22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95"/>
        </w:trPr>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1020"/>
              <w:spacing w:after="0"/>
              <w:rPr>
                <w:sz w:val="20"/>
                <w:szCs w:val="20"/>
                <w:color w:val="auto"/>
              </w:rPr>
            </w:pPr>
            <w:r>
              <w:rPr>
                <w:rFonts w:ascii="Times New Roman" w:cs="Times New Roman" w:eastAsia="Times New Roman" w:hAnsi="Times New Roman"/>
                <w:sz w:val="12"/>
                <w:szCs w:val="12"/>
                <w:color w:val="auto"/>
              </w:rPr>
              <w:t>5</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2" w:right="299" w:bottom="1440" w:gutter="0" w:footer="0" w:header="0"/>
        </w:sectPr>
      </w:pPr>
    </w:p>
    <w:bookmarkStart w:id="8" w:name="page9"/>
    <w:bookmarkEnd w:id="8"/>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3"/>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56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Non-GAAP Earnings per Diluted Share Reconciliations</w:t>
            </w: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6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90"/>
        </w:trPr>
        <w:tc>
          <w:tcPr>
            <w:tcW w:w="5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GAAP earnings (loss) per diluted share attributable to Quaker Chemical Corporation common shareholders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0" w:type="dxa"/>
            <w:vAlign w:val="bottom"/>
          </w:tcPr>
          <w:p>
            <w:pPr>
              <w:spacing w:after="0"/>
              <w:rPr>
                <w:sz w:val="1"/>
                <w:szCs w:val="1"/>
                <w:color w:val="auto"/>
              </w:rPr>
            </w:pPr>
          </w:p>
        </w:tc>
      </w:tr>
      <w:tr>
        <w:trPr>
          <w:trHeight w:val="90"/>
        </w:trPr>
        <w:tc>
          <w:tcPr>
            <w:tcW w:w="5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Equity income in a captive insurance company</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(0.25)</w:t>
            </w:r>
          </w:p>
        </w:tc>
        <w:tc>
          <w:tcPr>
            <w:tcW w:w="0" w:type="dxa"/>
            <w:vAlign w:val="bottom"/>
          </w:tcPr>
          <w:p>
            <w:pPr>
              <w:spacing w:after="0"/>
              <w:rPr>
                <w:sz w:val="1"/>
                <w:szCs w:val="1"/>
                <w:color w:val="auto"/>
              </w:rPr>
            </w:pPr>
          </w:p>
        </w:tc>
      </w:tr>
      <w:tr>
        <w:trPr>
          <w:trHeight w:val="90"/>
        </w:trPr>
        <w:tc>
          <w:tcPr>
            <w:tcW w:w="5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Acquisition-related step-up inventory amortization</w:t>
            </w: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0.25</w:t>
            </w:r>
          </w:p>
        </w:tc>
        <w:tc>
          <w:tcPr>
            <w:tcW w:w="0" w:type="dxa"/>
            <w:vAlign w:val="bottom"/>
          </w:tcPr>
          <w:p>
            <w:pPr>
              <w:spacing w:after="0"/>
              <w:rPr>
                <w:sz w:val="1"/>
                <w:szCs w:val="1"/>
                <w:color w:val="auto"/>
              </w:rPr>
            </w:pPr>
          </w:p>
        </w:tc>
      </w:tr>
      <w:tr>
        <w:trPr>
          <w:trHeight w:val="90"/>
        </w:trPr>
        <w:tc>
          <w:tcPr>
            <w:tcW w:w="5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Restructuring and related charges, net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1.31</w:t>
            </w:r>
          </w:p>
        </w:tc>
        <w:tc>
          <w:tcPr>
            <w:tcW w:w="0" w:type="dxa"/>
            <w:vAlign w:val="bottom"/>
          </w:tcPr>
          <w:p>
            <w:pPr>
              <w:spacing w:after="0"/>
              <w:rPr>
                <w:sz w:val="1"/>
                <w:szCs w:val="1"/>
                <w:color w:val="auto"/>
              </w:rPr>
            </w:pPr>
          </w:p>
        </w:tc>
      </w:tr>
      <w:tr>
        <w:trPr>
          <w:trHeight w:val="90"/>
        </w:trPr>
        <w:tc>
          <w:tcPr>
            <w:tcW w:w="5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Acquisition-related expenses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0.21</w:t>
            </w:r>
          </w:p>
        </w:tc>
        <w:tc>
          <w:tcPr>
            <w:tcW w:w="0" w:type="dxa"/>
            <w:vAlign w:val="bottom"/>
          </w:tcPr>
          <w:p>
            <w:pPr>
              <w:spacing w:after="0"/>
              <w:rPr>
                <w:sz w:val="1"/>
                <w:szCs w:val="1"/>
                <w:color w:val="auto"/>
              </w:rPr>
            </w:pPr>
          </w:p>
        </w:tc>
      </w:tr>
      <w:tr>
        <w:trPr>
          <w:trHeight w:val="90"/>
        </w:trPr>
        <w:tc>
          <w:tcPr>
            <w:tcW w:w="5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Loss (gain) on inventory and other adjustments</w:t>
            </w:r>
          </w:p>
        </w:tc>
        <w:tc>
          <w:tcPr>
            <w:tcW w:w="3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0" w:type="dxa"/>
            <w:vAlign w:val="bottom"/>
          </w:tcPr>
          <w:p>
            <w:pPr>
              <w:spacing w:after="0"/>
              <w:rPr>
                <w:sz w:val="1"/>
                <w:szCs w:val="1"/>
                <w:color w:val="auto"/>
              </w:rPr>
            </w:pPr>
          </w:p>
        </w:tc>
      </w:tr>
      <w:tr>
        <w:trPr>
          <w:trHeight w:val="90"/>
        </w:trPr>
        <w:tc>
          <w:tcPr>
            <w:tcW w:w="5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Business transformation costs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5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Pension and postretirement benefit costs, non-service components</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0.06</w:t>
            </w:r>
          </w:p>
        </w:tc>
        <w:tc>
          <w:tcPr>
            <w:tcW w:w="0" w:type="dxa"/>
            <w:vAlign w:val="bottom"/>
          </w:tcPr>
          <w:p>
            <w:pPr>
              <w:spacing w:after="0"/>
              <w:rPr>
                <w:sz w:val="1"/>
                <w:szCs w:val="1"/>
                <w:color w:val="auto"/>
              </w:rPr>
            </w:pPr>
          </w:p>
        </w:tc>
      </w:tr>
      <w:tr>
        <w:trPr>
          <w:trHeight w:val="90"/>
        </w:trPr>
        <w:tc>
          <w:tcPr>
            <w:tcW w:w="5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Impairment charges</w:t>
            </w: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4.91</w:t>
            </w:r>
          </w:p>
        </w:tc>
        <w:tc>
          <w:tcPr>
            <w:tcW w:w="0" w:type="dxa"/>
            <w:vAlign w:val="bottom"/>
          </w:tcPr>
          <w:p>
            <w:pPr>
              <w:spacing w:after="0"/>
              <w:rPr>
                <w:sz w:val="1"/>
                <w:szCs w:val="1"/>
                <w:color w:val="auto"/>
              </w:rPr>
            </w:pPr>
          </w:p>
        </w:tc>
      </w:tr>
      <w:tr>
        <w:trPr>
          <w:trHeight w:val="90"/>
        </w:trPr>
        <w:tc>
          <w:tcPr>
            <w:tcW w:w="5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Product liability claim reimbursement</w:t>
            </w:r>
          </w:p>
        </w:tc>
        <w:tc>
          <w:tcPr>
            <w:tcW w:w="3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5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Currency conversion impacts of hyper-inflationary economies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0.12</w:t>
            </w:r>
          </w:p>
        </w:tc>
        <w:tc>
          <w:tcPr>
            <w:tcW w:w="0" w:type="dxa"/>
            <w:vAlign w:val="bottom"/>
          </w:tcPr>
          <w:p>
            <w:pPr>
              <w:spacing w:after="0"/>
              <w:rPr>
                <w:sz w:val="1"/>
                <w:szCs w:val="1"/>
                <w:color w:val="auto"/>
              </w:rPr>
            </w:pPr>
          </w:p>
        </w:tc>
      </w:tr>
      <w:tr>
        <w:trPr>
          <w:trHeight w:val="90"/>
        </w:trPr>
        <w:tc>
          <w:tcPr>
            <w:tcW w:w="5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Loss on acquisition-related hedges</w:t>
            </w:r>
          </w:p>
        </w:tc>
        <w:tc>
          <w:tcPr>
            <w:tcW w:w="3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0.06</w:t>
            </w:r>
          </w:p>
        </w:tc>
        <w:tc>
          <w:tcPr>
            <w:tcW w:w="0" w:type="dxa"/>
            <w:vAlign w:val="bottom"/>
          </w:tcPr>
          <w:p>
            <w:pPr>
              <w:spacing w:after="0"/>
              <w:rPr>
                <w:sz w:val="1"/>
                <w:szCs w:val="1"/>
                <w:color w:val="auto"/>
              </w:rPr>
            </w:pPr>
          </w:p>
        </w:tc>
      </w:tr>
      <w:tr>
        <w:trPr>
          <w:trHeight w:val="90"/>
        </w:trPr>
        <w:tc>
          <w:tcPr>
            <w:tcW w:w="5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Loss (gain) on sale of assets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0" w:type="dxa"/>
            <w:vAlign w:val="bottom"/>
          </w:tcPr>
          <w:p>
            <w:pPr>
              <w:spacing w:after="0"/>
              <w:rPr>
                <w:sz w:val="1"/>
                <w:szCs w:val="1"/>
                <w:color w:val="auto"/>
              </w:rPr>
            </w:pPr>
          </w:p>
        </w:tc>
      </w:tr>
      <w:tr>
        <w:trPr>
          <w:trHeight w:val="90"/>
        </w:trPr>
        <w:tc>
          <w:tcPr>
            <w:tcW w:w="5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Multiemployer plan withdrawal charge</w:t>
            </w:r>
          </w:p>
        </w:tc>
        <w:tc>
          <w:tcPr>
            <w:tcW w:w="3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0.04</w:t>
            </w:r>
          </w:p>
        </w:tc>
        <w:tc>
          <w:tcPr>
            <w:tcW w:w="0" w:type="dxa"/>
            <w:vAlign w:val="bottom"/>
          </w:tcPr>
          <w:p>
            <w:pPr>
              <w:spacing w:after="0"/>
              <w:rPr>
                <w:sz w:val="1"/>
                <w:szCs w:val="1"/>
                <w:color w:val="auto"/>
              </w:rPr>
            </w:pPr>
          </w:p>
        </w:tc>
      </w:tr>
      <w:tr>
        <w:trPr>
          <w:trHeight w:val="90"/>
        </w:trPr>
        <w:tc>
          <w:tcPr>
            <w:tcW w:w="5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Brazilian non-income tax credits</w:t>
            </w: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0" w:type="dxa"/>
            <w:vAlign w:val="bottom"/>
          </w:tcPr>
          <w:p>
            <w:pPr>
              <w:spacing w:after="0"/>
              <w:rPr>
                <w:sz w:val="1"/>
                <w:szCs w:val="1"/>
                <w:color w:val="auto"/>
              </w:rPr>
            </w:pPr>
          </w:p>
        </w:tc>
      </w:tr>
      <w:tr>
        <w:trPr>
          <w:trHeight w:val="90"/>
        </w:trPr>
        <w:tc>
          <w:tcPr>
            <w:tcW w:w="5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modification and extinguishment costs</w:t>
            </w:r>
          </w:p>
        </w:tc>
        <w:tc>
          <w:tcPr>
            <w:tcW w:w="3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5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Duplicate headquarter lease costs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5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charges (credits)</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0.07</w:t>
            </w:r>
          </w:p>
        </w:tc>
        <w:tc>
          <w:tcPr>
            <w:tcW w:w="0" w:type="dxa"/>
            <w:vAlign w:val="bottom"/>
          </w:tcPr>
          <w:p>
            <w:pPr>
              <w:spacing w:after="0"/>
              <w:rPr>
                <w:sz w:val="1"/>
                <w:szCs w:val="1"/>
                <w:color w:val="auto"/>
              </w:rPr>
            </w:pPr>
          </w:p>
        </w:tc>
      </w:tr>
      <w:tr>
        <w:trPr>
          <w:trHeight w:val="90"/>
        </w:trPr>
        <w:tc>
          <w:tcPr>
            <w:tcW w:w="5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Discrete tax items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0.11</w:t>
            </w:r>
          </w:p>
        </w:tc>
        <w:tc>
          <w:tcPr>
            <w:tcW w:w="0" w:type="dxa"/>
            <w:vAlign w:val="bottom"/>
          </w:tcPr>
          <w:p>
            <w:pPr>
              <w:spacing w:after="0"/>
              <w:rPr>
                <w:sz w:val="1"/>
                <w:szCs w:val="1"/>
                <w:color w:val="auto"/>
              </w:rPr>
            </w:pPr>
          </w:p>
        </w:tc>
      </w:tr>
      <w:tr>
        <w:trPr>
          <w:trHeight w:val="90"/>
        </w:trPr>
        <w:tc>
          <w:tcPr>
            <w:tcW w:w="56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Acquisition-related depreciation and amortization</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0.13</w:t>
            </w:r>
          </w:p>
        </w:tc>
        <w:tc>
          <w:tcPr>
            <w:tcW w:w="0" w:type="dxa"/>
            <w:vAlign w:val="bottom"/>
          </w:tcPr>
          <w:p>
            <w:pPr>
              <w:spacing w:after="0"/>
              <w:rPr>
                <w:sz w:val="1"/>
                <w:szCs w:val="1"/>
                <w:color w:val="auto"/>
              </w:rPr>
            </w:pPr>
          </w:p>
        </w:tc>
      </w:tr>
      <w:tr>
        <w:trPr>
          <w:trHeight w:val="90"/>
        </w:trPr>
        <w:tc>
          <w:tcPr>
            <w:tcW w:w="564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earnings per diluted share</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5.37</w:t>
            </w:r>
          </w:p>
        </w:tc>
        <w:tc>
          <w:tcPr>
            <w:tcW w:w="0" w:type="dxa"/>
            <w:vAlign w:val="bottom"/>
          </w:tcPr>
          <w:p>
            <w:pPr>
              <w:spacing w:after="0"/>
              <w:rPr>
                <w:sz w:val="1"/>
                <w:szCs w:val="1"/>
                <w:color w:val="auto"/>
              </w:rPr>
            </w:pPr>
          </w:p>
        </w:tc>
      </w:tr>
      <w:tr>
        <w:trPr>
          <w:trHeight w:val="88"/>
        </w:trPr>
        <w:tc>
          <w:tcPr>
            <w:tcW w:w="56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left="208" w:hanging="208"/>
        <w:spacing w:after="0" w:line="265" w:lineRule="auto"/>
        <w:tabs>
          <w:tab w:leader="none" w:pos="201"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Depreciation and amortization for the three and nine months ended September 30, 2026 and 2025 each includes approximately $0.2 million and $0.7 million, respectively, of amortization expense recorded within equity in net income of associated companies in the Company’s Condensed Consolidated Statements of Operations. This is attributable to the amortization of the fair value purchase accounting step-up in connection with the acquisition of the Company’s 50% equity interest in Korea Houghton Corporation.</w:t>
      </w:r>
    </w:p>
    <w:p>
      <w:pPr>
        <w:spacing w:after="0" w:line="46" w:lineRule="exact"/>
        <w:rPr>
          <w:rFonts w:ascii="Times New Roman" w:cs="Times New Roman" w:eastAsia="Times New Roman" w:hAnsi="Times New Roman"/>
          <w:sz w:val="12"/>
          <w:szCs w:val="12"/>
          <w:color w:val="auto"/>
        </w:rPr>
      </w:pPr>
    </w:p>
    <w:p>
      <w:pPr>
        <w:jc w:val="both"/>
        <w:ind w:left="208" w:hanging="208"/>
        <w:spacing w:after="0" w:line="265" w:lineRule="auto"/>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Taxes on income before equity in net income of associated companies – adjusted includes the Company’s tax expense adjusted for the impact of any current and deferred income tax expense (benefit), as applicable, of the reconciling items presented in the reconciliation of Net income attributable to Quaker Chemical Corporation to adjusted EBITDA, above, determined utilizing the applicable rates in the taxing jurisdictions in which these adjustments occurred, subject to deductibility. This caption also includes the impact of specific tax charges and benefits for the three and nine months ended September 30, 2026 and 2025.</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Segment Measures and Reconciliations</w:t>
      </w:r>
    </w:p>
    <w:p>
      <w:pPr>
        <w:spacing w:after="0" w:line="8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Segment operating earnings for each of the Company’s reportable segments are comprised of the segment’s net sales less directly related product costs and other segment items.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expense, net.</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8"/>
          </w:cols>
          <w:pgMar w:left="292" w:top="782"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color w:val="auto"/>
        </w:rPr>
        <w:t>The following table presents information about the performance of the Company’s reportable segments (dollars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840" w:type="dxa"/>
            <w:vAlign w:val="bottom"/>
          </w:tcPr>
          <w:p>
            <w:pPr>
              <w:spacing w:after="0"/>
              <w:rPr>
                <w:sz w:val="12"/>
                <w:szCs w:val="12"/>
                <w:color w:val="auto"/>
              </w:rPr>
            </w:pPr>
          </w:p>
        </w:tc>
      </w:tr>
      <w:tr>
        <w:trPr>
          <w:trHeight w:val="159"/>
        </w:trPr>
        <w:tc>
          <w:tcPr>
            <w:tcW w:w="4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40" w:type="dxa"/>
            <w:vAlign w:val="bottom"/>
          </w:tcPr>
          <w:p>
            <w:pPr>
              <w:spacing w:after="0"/>
              <w:rPr>
                <w:sz w:val="13"/>
                <w:szCs w:val="13"/>
                <w:color w:val="auto"/>
              </w:rPr>
            </w:pPr>
          </w:p>
        </w:tc>
      </w:tr>
      <w:tr>
        <w:trPr>
          <w:trHeight w:val="90"/>
        </w:trPr>
        <w:tc>
          <w:tcPr>
            <w:tcW w:w="4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151"/>
        </w:trPr>
        <w:tc>
          <w:tcPr>
            <w:tcW w:w="4740" w:type="dxa"/>
            <w:vAlign w:val="bottom"/>
          </w:tcPr>
          <w:p>
            <w:pPr>
              <w:spacing w:after="0"/>
              <w:rPr>
                <w:sz w:val="13"/>
                <w:szCs w:val="13"/>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90"/>
        </w:trPr>
        <w:tc>
          <w:tcPr>
            <w:tcW w:w="4740" w:type="dxa"/>
            <w:vAlign w:val="bottom"/>
            <w:tcBorders>
              <w:bottom w:val="single" w:sz="8" w:color="CCEEFF"/>
            </w:tcBorders>
          </w:tcPr>
          <w:p>
            <w:pPr>
              <w:spacing w:after="0"/>
              <w:rPr>
                <w:sz w:val="7"/>
                <w:szCs w:val="7"/>
                <w:color w:val="auto"/>
              </w:rPr>
            </w:pPr>
          </w:p>
        </w:tc>
        <w:tc>
          <w:tcPr>
            <w:tcW w:w="900" w:type="dxa"/>
            <w:vAlign w:val="bottom"/>
            <w:tcBorders>
              <w:bottom w:val="single" w:sz="8" w:color="CCEEFF"/>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14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90"/>
        </w:trPr>
        <w:tc>
          <w:tcPr>
            <w:tcW w:w="47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Americas</w:t>
            </w: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254,030</w:t>
            </w:r>
          </w:p>
        </w:tc>
        <w:tc>
          <w:tcPr>
            <w:tcW w:w="80" w:type="dxa"/>
            <w:vAlign w:val="bottom"/>
          </w:tcPr>
          <w:p>
            <w:pPr>
              <w:spacing w:after="0"/>
              <w:rPr>
                <w:sz w:val="14"/>
                <w:szCs w:val="14"/>
                <w:color w:val="auto"/>
              </w:rPr>
            </w:pP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222,787</w:t>
            </w:r>
          </w:p>
        </w:tc>
        <w:tc>
          <w:tcPr>
            <w:tcW w:w="60" w:type="dxa"/>
            <w:vAlign w:val="bottom"/>
          </w:tcPr>
          <w:p>
            <w:pPr>
              <w:spacing w:after="0"/>
              <w:rPr>
                <w:sz w:val="14"/>
                <w:szCs w:val="14"/>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704,271</w:t>
            </w:r>
          </w:p>
        </w:tc>
        <w:tc>
          <w:tcPr>
            <w:tcW w:w="80" w:type="dxa"/>
            <w:vAlign w:val="bottom"/>
          </w:tcPr>
          <w:p>
            <w:pPr>
              <w:spacing w:after="0"/>
              <w:rPr>
                <w:sz w:val="14"/>
                <w:szCs w:val="14"/>
                <w:color w:val="auto"/>
              </w:rPr>
            </w:pP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657,560</w:t>
            </w:r>
          </w:p>
        </w:tc>
      </w:tr>
      <w:tr>
        <w:trPr>
          <w:trHeight w:val="90"/>
        </w:trPr>
        <w:tc>
          <w:tcPr>
            <w:tcW w:w="4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EMEA</w:t>
            </w: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152,466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143,900</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452,985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413,101</w:t>
            </w:r>
          </w:p>
        </w:tc>
      </w:tr>
      <w:tr>
        <w:trPr>
          <w:trHeight w:val="90"/>
        </w:trPr>
        <w:tc>
          <w:tcPr>
            <w:tcW w:w="47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Asia/Pacific</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138,052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127,155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400,321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349,495</w:t>
            </w:r>
          </w:p>
        </w:tc>
      </w:tr>
      <w:tr>
        <w:trPr>
          <w:trHeight w:val="90"/>
        </w:trPr>
        <w:tc>
          <w:tcPr>
            <w:tcW w:w="4740" w:type="dxa"/>
            <w:vAlign w:val="bottom"/>
            <w:tcBorders>
              <w:bottom w:val="single" w:sz="8" w:color="CCEEFF"/>
            </w:tcBorders>
          </w:tcPr>
          <w:p>
            <w:pPr>
              <w:spacing w:after="0"/>
              <w:rPr>
                <w:sz w:val="7"/>
                <w:szCs w:val="7"/>
                <w:color w:val="auto"/>
              </w:rPr>
            </w:pPr>
          </w:p>
        </w:tc>
        <w:tc>
          <w:tcPr>
            <w:tcW w:w="900" w:type="dxa"/>
            <w:vAlign w:val="bottom"/>
            <w:tcBorders>
              <w:bottom w:val="single" w:sz="8" w:color="CCEEFF"/>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16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Total net sales</w:t>
            </w:r>
          </w:p>
        </w:tc>
        <w:tc>
          <w:tcPr>
            <w:tcW w:w="17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544,548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493,842</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1,557,577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1,420,156</w:t>
            </w:r>
          </w:p>
        </w:tc>
      </w:tr>
      <w:tr>
        <w:trPr>
          <w:trHeight w:val="92"/>
        </w:trPr>
        <w:tc>
          <w:tcPr>
            <w:tcW w:w="474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r>
      <w:tr>
        <w:trPr>
          <w:trHeight w:val="140"/>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Segment operating earnings</w:t>
            </w: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90"/>
        </w:trPr>
        <w:tc>
          <w:tcPr>
            <w:tcW w:w="4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Americas</w:t>
            </w:r>
          </w:p>
        </w:tc>
        <w:tc>
          <w:tcPr>
            <w:tcW w:w="17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65,657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58,913</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176,845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176,351</w:t>
            </w:r>
          </w:p>
        </w:tc>
      </w:tr>
      <w:tr>
        <w:trPr>
          <w:trHeight w:val="90"/>
        </w:trPr>
        <w:tc>
          <w:tcPr>
            <w:tcW w:w="47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EMEA</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31,174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26,479</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89,475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74,867</w:t>
            </w:r>
          </w:p>
        </w:tc>
      </w:tr>
      <w:tr>
        <w:trPr>
          <w:trHeight w:val="90"/>
        </w:trPr>
        <w:tc>
          <w:tcPr>
            <w:tcW w:w="4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Asia/Pacific</w:t>
            </w: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35,055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35,569</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105,890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90,214</w:t>
            </w:r>
          </w:p>
        </w:tc>
      </w:tr>
      <w:tr>
        <w:trPr>
          <w:trHeight w:val="90"/>
        </w:trPr>
        <w:tc>
          <w:tcPr>
            <w:tcW w:w="47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r>
      <w:tr>
        <w:trPr>
          <w:trHeight w:val="151"/>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segment operating earnings</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131,886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120,961</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372,210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341,432</w:t>
            </w:r>
          </w:p>
        </w:tc>
      </w:tr>
      <w:tr>
        <w:trPr>
          <w:trHeight w:val="90"/>
        </w:trPr>
        <w:tc>
          <w:tcPr>
            <w:tcW w:w="4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Restructuring and related charges, net</w:t>
            </w: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(7,745)</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(23,760)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(31,128)</w:t>
            </w:r>
          </w:p>
        </w:tc>
      </w:tr>
      <w:tr>
        <w:trPr>
          <w:trHeight w:val="90"/>
        </w:trPr>
        <w:tc>
          <w:tcPr>
            <w:tcW w:w="47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Impairment charges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(88,840)</w:t>
            </w:r>
          </w:p>
        </w:tc>
      </w:tr>
      <w:tr>
        <w:trPr>
          <w:trHeight w:val="90"/>
        </w:trPr>
        <w:tc>
          <w:tcPr>
            <w:tcW w:w="4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Non-operating and administrative expenses</w:t>
            </w: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(57,262)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(49,560)</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(172,552)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(151,137)</w:t>
            </w:r>
          </w:p>
        </w:tc>
      </w:tr>
      <w:tr>
        <w:trPr>
          <w:trHeight w:val="90"/>
        </w:trPr>
        <w:tc>
          <w:tcPr>
            <w:tcW w:w="47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of corporate assets and amortization</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(17,015)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(52,853)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(48,572)</w:t>
            </w:r>
          </w:p>
        </w:tc>
      </w:tr>
      <w:tr>
        <w:trPr>
          <w:trHeight w:val="90"/>
        </w:trPr>
        <w:tc>
          <w:tcPr>
            <w:tcW w:w="4740" w:type="dxa"/>
            <w:vAlign w:val="bottom"/>
            <w:tcBorders>
              <w:bottom w:val="single" w:sz="8" w:color="CCEEFF"/>
            </w:tcBorders>
          </w:tcPr>
          <w:p>
            <w:pPr>
              <w:spacing w:after="0"/>
              <w:rPr>
                <w:sz w:val="7"/>
                <w:szCs w:val="7"/>
                <w:color w:val="auto"/>
              </w:rPr>
            </w:pPr>
          </w:p>
        </w:tc>
        <w:tc>
          <w:tcPr>
            <w:tcW w:w="900" w:type="dxa"/>
            <w:vAlign w:val="bottom"/>
            <w:tcBorders>
              <w:bottom w:val="single" w:sz="8" w:color="CCEEFF"/>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15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48,853</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46,641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123,045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21,755</w:t>
            </w:r>
          </w:p>
        </w:tc>
      </w:tr>
      <w:tr>
        <w:trPr>
          <w:trHeight w:val="90"/>
        </w:trPr>
        <w:tc>
          <w:tcPr>
            <w:tcW w:w="47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expense, net</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w:t>
            </w:r>
          </w:p>
        </w:tc>
      </w:tr>
      <w:tr>
        <w:trPr>
          <w:trHeight w:val="90"/>
        </w:trPr>
        <w:tc>
          <w:tcPr>
            <w:tcW w:w="4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(10,023)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(10,941)</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(29,775)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(33,265)</w:t>
            </w:r>
          </w:p>
        </w:tc>
      </w:tr>
      <w:tr>
        <w:trPr>
          <w:trHeight w:val="90"/>
        </w:trPr>
        <w:tc>
          <w:tcPr>
            <w:tcW w:w="47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r>
      <w:tr>
        <w:trPr>
          <w:trHeight w:val="169"/>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 and equity in net income of associated companies</w:t>
            </w: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38,033</w:t>
            </w:r>
          </w:p>
        </w:tc>
        <w:tc>
          <w:tcPr>
            <w:tcW w:w="80" w:type="dxa"/>
            <w:vAlign w:val="bottom"/>
          </w:tcPr>
          <w:p>
            <w:pPr>
              <w:spacing w:after="0"/>
              <w:rPr>
                <w:sz w:val="14"/>
                <w:szCs w:val="14"/>
                <w:color w:val="auto"/>
              </w:rPr>
            </w:pP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35,430</w:t>
            </w:r>
          </w:p>
        </w:tc>
        <w:tc>
          <w:tcPr>
            <w:tcW w:w="60" w:type="dxa"/>
            <w:vAlign w:val="bottom"/>
          </w:tcPr>
          <w:p>
            <w:pPr>
              <w:spacing w:after="0"/>
              <w:rPr>
                <w:sz w:val="14"/>
                <w:szCs w:val="14"/>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92,856</w:t>
            </w:r>
          </w:p>
        </w:tc>
        <w:tc>
          <w:tcPr>
            <w:tcW w:w="80" w:type="dxa"/>
            <w:vAlign w:val="bottom"/>
          </w:tcPr>
          <w:p>
            <w:pPr>
              <w:spacing w:after="0"/>
              <w:rPr>
                <w:sz w:val="14"/>
                <w:szCs w:val="14"/>
                <w:color w:val="auto"/>
              </w:rPr>
            </w:pP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(13,142)</w:t>
            </w:r>
          </w:p>
        </w:tc>
      </w:tr>
      <w:tr>
        <w:trPr>
          <w:trHeight w:val="72"/>
        </w:trPr>
        <w:tc>
          <w:tcPr>
            <w:tcW w:w="4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71"/>
        </w:trPr>
        <w:tc>
          <w:tcPr>
            <w:tcW w:w="4740" w:type="dxa"/>
            <w:vAlign w:val="bottom"/>
          </w:tcPr>
          <w:p>
            <w:pPr>
              <w:spacing w:after="0"/>
              <w:rPr>
                <w:sz w:val="24"/>
                <w:szCs w:val="24"/>
                <w:color w:val="auto"/>
              </w:rPr>
            </w:pPr>
          </w:p>
        </w:tc>
        <w:tc>
          <w:tcPr>
            <w:tcW w:w="172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7</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00"/>
          </w:cols>
          <w:pgMar w:left="300" w:top="75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u w:val="single" w:color="auto"/>
          <w:color w:val="auto"/>
        </w:rPr>
        <w:t>Forward-Looking Statements</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This press release contains “forward-looking statements” that fall under the safe harbor provisions of the Private Securities Litigation Reform Act of 1995, the Securities Act of 1933 and the Securities Exchange Act of 1934, as amended. These statements can be identified by the fact that they do not relate strictly to historical or current facts. We have based these forward-looking statements on assumptions, projections and expectations about future events that we believe are reasonable based on currently available information, including statements regarding the potential effects of economic downturns; tariffs, including retaliatory tariffs, “trade wars” and uncertainty surrounding changes in tariffs;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 These forward-looking statements include statements with respect to our beliefs, plans, objectives, goals, expectations, anticipations, intentions, financial condition, results of operations, future performance, and business, which may differ materially from our actual results, including but not limited to the potential benefits of acquisitions and divestitures, the impacts on our business as a result of global supply chain constraints and other macroeconomic stresses and uncertainties, including political and geopolitical events, civil disturbances and endemics/pandemics or extreme weather events and other natural disasters that may adversely affect regional economic conditions, and our current and future results and plans and statements that include the words “may,” “could,” “should,” “would,” “believe,” “expect,” “anticipate,” “estimate,” “intend,” “outlook,” “target,” “possible,” “potential,” “plan” or similar expressions. Such statements include information relating to current and future business activities, operational matters, capital spending, and financing sources. A major risk is that demand for the Company’s products and services is largely derived from the demand for its customers’ products, which subjects the Company to uncertainties related to downturns in a customer’s business and unanticipated customer production slowdowns and shutdowns. Other major risks and uncertainties include, but are not limited to, inflationary pressures, including increases in raw material costs; supply chain constraints and the impacts of economic downturns; customer financial instability; high interest rates and their impact on our and our customers’ business operations; the impacts from acts of war, terrorism and military conflicts, including those in Ukraine and the Middle East as well as economic and political actions taken by various government organizations; economic and political disruptions globally and the possibility of regime changes; the possibility of economic recession; legislative and regulatory developments including changes to existing laws and regulations, or the way they are interpreted, applied or enforced; tariffs, trade restrictions, and the economic and other sanctions imposed by other nations on Russia and Belarus and/or other government organizations; suspensions of activities in Russia by many multinational companies; foreign currency fluctuations; significant changes in applicable tax rates and regulations and the potential impacts therefrom, including those arising from H.R.1, commonly known as the “One Big Beautiful Bill Act”; other acts of violence; the impacts of consolidation in our industry, including loss or consolidation of a major customer; the effects of climate change, fires, or other natural disasters; and the potential occurrence of cyber-security breaches, cyber-security attacks and other technology outages and security incidents. Furthermore, the Company is subject to the same business cycles as those experienced by our customers in the steel, automobile, aircraft, industrial equipment, aluminum and durable goods industries.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 All forward-looking statements included in this press release, including expectations about future periods, are based upon information available to the Company as of the date of this press release, which may change. Therefore, we caution you not to place undue reliance on our forward-looking statements. For more information regarding these risks and uncertainties as well as certain additional risks that we face, refer to the Risk Factors section, which appears in Item 1A of our Annual Report on Form 10-K for the year ended December 31, 2025, and in subsequent reports filed from time to time with the Securities and Exchange Commission. We do not intend to, and we disclaim any duty or obligation to, update or revise any forward-looking statements to reflect new information or future events or for any other reason.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Conference Call</w:t>
      </w:r>
    </w:p>
    <w:p>
      <w:pPr>
        <w:spacing w:after="0" w:line="8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previously announced, the Company’s investor conference call to discuss its third quarter of 2026 performance is scheduled for Friday, October 30, 2026 at 8:00 a.m. ET. A live webcast of the conference call, together with supplemental information, can be accessed through the Company’s Investor Relations website at investors.quakerhoughton.com. You can also access the conference call by dialing 877-269-7756.</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About Quaker Houghton</w:t>
      </w:r>
    </w:p>
    <w:p>
      <w:pPr>
        <w:spacing w:after="0" w:line="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With approximately 4,700 employees, including chemists, engineers and industry experts, we partner with our customers to improve their operations so they can run even more efficiently, even more effectively, whatever comes next. Quaker Houghton is headquartered in Conshohocken, Pennsylvania, located near Philadelphia in the United States. Visit quakerhoughton.com to learn more.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746"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(Unaudited; Dollars in thousands, except per share data)</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840" w:type="dxa"/>
            <w:vAlign w:val="bottom"/>
          </w:tcPr>
          <w:p>
            <w:pPr>
              <w:spacing w:after="0"/>
              <w:rPr>
                <w:sz w:val="12"/>
                <w:szCs w:val="12"/>
                <w:color w:val="auto"/>
              </w:rPr>
            </w:pPr>
          </w:p>
        </w:tc>
      </w:tr>
      <w:tr>
        <w:trPr>
          <w:trHeight w:val="159"/>
        </w:trPr>
        <w:tc>
          <w:tcPr>
            <w:tcW w:w="5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40" w:type="dxa"/>
            <w:vAlign w:val="bottom"/>
          </w:tcPr>
          <w:p>
            <w:pPr>
              <w:spacing w:after="0"/>
              <w:rPr>
                <w:sz w:val="13"/>
                <w:szCs w:val="13"/>
                <w:color w:val="auto"/>
              </w:rPr>
            </w:pPr>
          </w:p>
        </w:tc>
      </w:tr>
      <w:tr>
        <w:trPr>
          <w:trHeight w:val="90"/>
        </w:trPr>
        <w:tc>
          <w:tcPr>
            <w:tcW w:w="5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151"/>
        </w:trPr>
        <w:tc>
          <w:tcPr>
            <w:tcW w:w="510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90"/>
        </w:trPr>
        <w:tc>
          <w:tcPr>
            <w:tcW w:w="5100" w:type="dxa"/>
            <w:vAlign w:val="bottom"/>
            <w:tcBorders>
              <w:bottom w:val="single" w:sz="8" w:color="CCEEFF"/>
            </w:tcBorders>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15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3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544,548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493,842</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1,557,577</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1,420,156</w:t>
            </w:r>
          </w:p>
        </w:tc>
      </w:tr>
      <w:tr>
        <w:trPr>
          <w:trHeight w:val="90"/>
        </w:trPr>
        <w:tc>
          <w:tcPr>
            <w:tcW w:w="5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351,025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312,977</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998,115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906,308</w:t>
            </w:r>
          </w:p>
        </w:tc>
      </w:tr>
      <w:tr>
        <w:trPr>
          <w:trHeight w:val="90"/>
        </w:trPr>
        <w:tc>
          <w:tcPr>
            <w:tcW w:w="5100" w:type="dxa"/>
            <w:vAlign w:val="bottom"/>
            <w:tcBorders>
              <w:bottom w:val="single" w:sz="8" w:color="CCEEFF"/>
            </w:tcBorders>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151"/>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Gross profit</w:t>
            </w:r>
          </w:p>
        </w:tc>
        <w:tc>
          <w:tcPr>
            <w:tcW w:w="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193,523</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180,865</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559,462</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513,848</w:t>
            </w:r>
          </w:p>
        </w:tc>
      </w:tr>
      <w:tr>
        <w:trPr>
          <w:trHeight w:val="90"/>
        </w:trPr>
        <w:tc>
          <w:tcPr>
            <w:tcW w:w="5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136,407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126,479</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412,657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372,125</w:t>
            </w:r>
          </w:p>
        </w:tc>
      </w:tr>
      <w:tr>
        <w:trPr>
          <w:trHeight w:val="90"/>
        </w:trPr>
        <w:tc>
          <w:tcPr>
            <w:tcW w:w="5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charges</w:t>
            </w: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88,840</w:t>
            </w:r>
          </w:p>
        </w:tc>
      </w:tr>
      <w:tr>
        <w:trPr>
          <w:trHeight w:val="90"/>
        </w:trPr>
        <w:tc>
          <w:tcPr>
            <w:tcW w:w="5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Restructuring and related charges, net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23,760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31,128</w:t>
            </w:r>
          </w:p>
        </w:tc>
      </w:tr>
      <w:tr>
        <w:trPr>
          <w:trHeight w:val="90"/>
        </w:trPr>
        <w:tc>
          <w:tcPr>
            <w:tcW w:w="5100" w:type="dxa"/>
            <w:vAlign w:val="bottom"/>
            <w:tcBorders>
              <w:bottom w:val="single" w:sz="8" w:color="CCEEFF"/>
            </w:tcBorders>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151"/>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 income</w:t>
            </w:r>
          </w:p>
        </w:tc>
        <w:tc>
          <w:tcPr>
            <w:tcW w:w="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48,853</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46,641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123,045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21,755</w:t>
            </w:r>
          </w:p>
        </w:tc>
      </w:tr>
      <w:tr>
        <w:trPr>
          <w:trHeight w:val="90"/>
        </w:trPr>
        <w:tc>
          <w:tcPr>
            <w:tcW w:w="5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w:t>
            </w:r>
          </w:p>
        </w:tc>
      </w:tr>
      <w:tr>
        <w:trPr>
          <w:trHeight w:val="90"/>
        </w:trPr>
        <w:tc>
          <w:tcPr>
            <w:tcW w:w="5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(10,023)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(10,941)</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(29,775)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(33,265)</w:t>
            </w:r>
          </w:p>
        </w:tc>
      </w:tr>
      <w:tr>
        <w:trPr>
          <w:trHeight w:val="90"/>
        </w:trPr>
        <w:tc>
          <w:tcPr>
            <w:tcW w:w="5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r>
      <w:tr>
        <w:trPr>
          <w:trHeight w:val="151"/>
        </w:trPr>
        <w:tc>
          <w:tcPr>
            <w:tcW w:w="5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(loss) before taxes and equity in net income of associated companies</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38,033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35,430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92,856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(13,142)</w:t>
            </w:r>
          </w:p>
        </w:tc>
      </w:tr>
      <w:tr>
        <w:trPr>
          <w:trHeight w:val="90"/>
        </w:trPr>
        <w:tc>
          <w:tcPr>
            <w:tcW w:w="5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Taxes on income before equity in net income of associated companies</w:t>
            </w: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11,830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9,266</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30,147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22,280</w:t>
            </w:r>
          </w:p>
        </w:tc>
      </w:tr>
      <w:tr>
        <w:trPr>
          <w:trHeight w:val="90"/>
        </w:trPr>
        <w:tc>
          <w:tcPr>
            <w:tcW w:w="5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r>
      <w:tr>
        <w:trPr>
          <w:trHeight w:val="151"/>
        </w:trPr>
        <w:tc>
          <w:tcPr>
            <w:tcW w:w="5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(loss) before equity in net income of associated companies</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26,203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26,164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62,709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(35,422)</w:t>
            </w:r>
          </w:p>
        </w:tc>
      </w:tr>
      <w:tr>
        <w:trPr>
          <w:trHeight w:val="90"/>
        </w:trPr>
        <w:tc>
          <w:tcPr>
            <w:tcW w:w="5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net income of associated companies</w:t>
            </w: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4,322</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12,262</w:t>
            </w:r>
          </w:p>
        </w:tc>
      </w:tr>
      <w:tr>
        <w:trPr>
          <w:trHeight w:val="90"/>
        </w:trPr>
        <w:tc>
          <w:tcPr>
            <w:tcW w:w="5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r>
      <w:tr>
        <w:trPr>
          <w:trHeight w:val="151"/>
        </w:trPr>
        <w:tc>
          <w:tcPr>
            <w:tcW w:w="5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29,970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30,486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76,525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(23,160)</w:t>
            </w:r>
          </w:p>
        </w:tc>
      </w:tr>
      <w:tr>
        <w:trPr>
          <w:trHeight w:val="90"/>
        </w:trPr>
        <w:tc>
          <w:tcPr>
            <w:tcW w:w="5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(loss) income attributable to noncontrolling interest</w:t>
            </w: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90"/>
        </w:trPr>
        <w:tc>
          <w:tcPr>
            <w:tcW w:w="5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r>
      <w:tr>
        <w:trPr>
          <w:trHeight w:val="169"/>
        </w:trPr>
        <w:tc>
          <w:tcPr>
            <w:tcW w:w="5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 attributable to Quaker Chemical Corporation</w:t>
            </w: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29,977</w:t>
            </w:r>
          </w:p>
        </w:tc>
        <w:tc>
          <w:tcPr>
            <w:tcW w:w="80" w:type="dxa"/>
            <w:vAlign w:val="bottom"/>
          </w:tcPr>
          <w:p>
            <w:pPr>
              <w:spacing w:after="0"/>
              <w:rPr>
                <w:sz w:val="14"/>
                <w:szCs w:val="14"/>
                <w:color w:val="auto"/>
              </w:rPr>
            </w:pP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30,469</w:t>
            </w:r>
          </w:p>
        </w:tc>
        <w:tc>
          <w:tcPr>
            <w:tcW w:w="60" w:type="dxa"/>
            <w:vAlign w:val="bottom"/>
          </w:tcPr>
          <w:p>
            <w:pPr>
              <w:spacing w:after="0"/>
              <w:rPr>
                <w:sz w:val="14"/>
                <w:szCs w:val="14"/>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76,481</w:t>
            </w:r>
          </w:p>
        </w:tc>
        <w:tc>
          <w:tcPr>
            <w:tcW w:w="80" w:type="dxa"/>
            <w:vAlign w:val="bottom"/>
          </w:tcPr>
          <w:p>
            <w:pPr>
              <w:spacing w:after="0"/>
              <w:rPr>
                <w:sz w:val="14"/>
                <w:szCs w:val="14"/>
                <w:color w:val="auto"/>
              </w:rPr>
            </w:pP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(23,189)</w:t>
            </w:r>
          </w:p>
        </w:tc>
      </w:tr>
      <w:tr>
        <w:trPr>
          <w:trHeight w:val="88"/>
        </w:trPr>
        <w:tc>
          <w:tcPr>
            <w:tcW w:w="5100" w:type="dxa"/>
            <w:vAlign w:val="bottom"/>
            <w:tcBorders>
              <w:bottom w:val="single" w:sz="8" w:color="CCEEFF"/>
            </w:tcBorders>
          </w:tcPr>
          <w:p>
            <w:pPr>
              <w:spacing w:after="0"/>
              <w:rPr>
                <w:sz w:val="7"/>
                <w:szCs w:val="7"/>
                <w:color w:val="auto"/>
              </w:rPr>
            </w:pPr>
          </w:p>
        </w:tc>
        <w:tc>
          <w:tcPr>
            <w:tcW w:w="54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r>
        <w:trPr>
          <w:trHeight w:val="14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Per share data:</w:t>
            </w: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90"/>
        </w:trPr>
        <w:tc>
          <w:tcPr>
            <w:tcW w:w="5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 attributable to Quaker Chemical Corporation common shareholders – basic</w:t>
            </w: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tcPr>
          <w:p>
            <w:pPr>
              <w:spacing w:after="0"/>
              <w:rPr>
                <w:sz w:val="14"/>
                <w:szCs w:val="14"/>
                <w:color w:val="auto"/>
              </w:rPr>
            </w:pP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 w:type="dxa"/>
            <w:vAlign w:val="bottom"/>
          </w:tcPr>
          <w:p>
            <w:pPr>
              <w:spacing w:after="0"/>
              <w:rPr>
                <w:sz w:val="14"/>
                <w:szCs w:val="14"/>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80" w:type="dxa"/>
            <w:vAlign w:val="bottom"/>
          </w:tcPr>
          <w:p>
            <w:pPr>
              <w:spacing w:after="0"/>
              <w:rPr>
                <w:sz w:val="14"/>
                <w:szCs w:val="14"/>
                <w:color w:val="auto"/>
              </w:rPr>
            </w:pP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r>
      <w:tr>
        <w:trPr>
          <w:trHeight w:val="90"/>
        </w:trPr>
        <w:tc>
          <w:tcPr>
            <w:tcW w:w="5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attributable to Quaker Chemical Corporation common shareholders – diluted</w:t>
            </w:r>
          </w:p>
        </w:tc>
        <w:tc>
          <w:tcPr>
            <w:tcW w:w="13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r>
      <w:tr>
        <w:trPr>
          <w:trHeight w:val="90"/>
        </w:trPr>
        <w:tc>
          <w:tcPr>
            <w:tcW w:w="5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62"/>
        </w:trPr>
        <w:tc>
          <w:tcPr>
            <w:tcW w:w="5100" w:type="dxa"/>
            <w:vAlign w:val="bottom"/>
          </w:tcPr>
          <w:p>
            <w:pPr>
              <w:spacing w:after="0"/>
              <w:rPr>
                <w:sz w:val="20"/>
                <w:szCs w:val="20"/>
                <w:color w:val="auto"/>
              </w:rPr>
            </w:pPr>
            <w:r>
              <w:rPr>
                <w:rFonts w:ascii="Times New Roman" w:cs="Times New Roman" w:eastAsia="Times New Roman" w:hAnsi="Times New Roman"/>
                <w:sz w:val="12"/>
                <w:szCs w:val="12"/>
                <w:color w:val="auto"/>
              </w:rPr>
              <w:t>Basic weighted average common shares outstanding</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17,196,928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17,363,947</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17,273,816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17,524,377</w:t>
            </w:r>
          </w:p>
        </w:tc>
      </w:tr>
      <w:tr>
        <w:trPr>
          <w:trHeight w:val="90"/>
        </w:trPr>
        <w:tc>
          <w:tcPr>
            <w:tcW w:w="5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weighted average common shares outstanding</w:t>
            </w:r>
          </w:p>
        </w:tc>
        <w:tc>
          <w:tcPr>
            <w:tcW w:w="5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17,345,329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17,421,090</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17,363,516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17,545,666</w:t>
            </w:r>
          </w:p>
        </w:tc>
      </w:tr>
      <w:tr>
        <w:trPr>
          <w:trHeight w:val="90"/>
        </w:trPr>
        <w:tc>
          <w:tcPr>
            <w:tcW w:w="5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495"/>
        </w:trPr>
        <w:tc>
          <w:tcPr>
            <w:tcW w:w="5100" w:type="dxa"/>
            <w:vAlign w:val="bottom"/>
          </w:tcPr>
          <w:p>
            <w:pPr>
              <w:spacing w:after="0"/>
              <w:rPr>
                <w:sz w:val="24"/>
                <w:szCs w:val="24"/>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9</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00"/>
          </w:cols>
          <w:pgMar w:left="300" w:top="287" w:right="2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 Dollars in thousands, except par value)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20" w:type="dxa"/>
            <w:vAlign w:val="bottom"/>
          </w:tcPr>
          <w:p>
            <w:pPr>
              <w:spacing w:after="0"/>
              <w:rPr>
                <w:sz w:val="12"/>
                <w:szCs w:val="12"/>
                <w:color w:val="auto"/>
              </w:rPr>
            </w:pP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9"/>
        </w:trPr>
        <w:tc>
          <w:tcPr>
            <w:tcW w:w="48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90"/>
        </w:trPr>
        <w:tc>
          <w:tcPr>
            <w:tcW w:w="4880" w:type="dxa"/>
            <w:vAlign w:val="bottom"/>
            <w:tcBorders>
              <w:bottom w:val="single" w:sz="8" w:color="CCEEFF"/>
            </w:tcBorders>
          </w:tcPr>
          <w:p>
            <w:pPr>
              <w:spacing w:after="0"/>
              <w:rPr>
                <w:sz w:val="7"/>
                <w:szCs w:val="7"/>
                <w:color w:val="auto"/>
              </w:rPr>
            </w:pPr>
          </w:p>
        </w:tc>
        <w:tc>
          <w:tcPr>
            <w:tcW w:w="35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3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167,006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179,829</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487,955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417,157</w:t>
            </w: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Inventories</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319,612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265,776</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74,468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58,428</w:t>
            </w:r>
          </w:p>
        </w:tc>
        <w:tc>
          <w:tcPr>
            <w:tcW w:w="0" w:type="dxa"/>
            <w:vAlign w:val="bottom"/>
          </w:tcPr>
          <w:p>
            <w:pPr>
              <w:spacing w:after="0"/>
              <w:rPr>
                <w:sz w:val="1"/>
                <w:szCs w:val="1"/>
                <w:color w:val="auto"/>
              </w:rPr>
            </w:pPr>
          </w:p>
        </w:tc>
      </w:tr>
      <w:tr>
        <w:trPr>
          <w:trHeight w:val="90"/>
        </w:trPr>
        <w:tc>
          <w:tcPr>
            <w:tcW w:w="4880" w:type="dxa"/>
            <w:vAlign w:val="bottom"/>
            <w:tcBorders>
              <w:bottom w:val="single" w:sz="8" w:color="CCEEFF"/>
            </w:tcBorders>
          </w:tcPr>
          <w:p>
            <w:pPr>
              <w:spacing w:after="0"/>
              <w:rPr>
                <w:sz w:val="7"/>
                <w:szCs w:val="7"/>
                <w:color w:val="auto"/>
              </w:rPr>
            </w:pPr>
          </w:p>
        </w:tc>
        <w:tc>
          <w:tcPr>
            <w:tcW w:w="35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current assets</w:t>
            </w:r>
          </w:p>
        </w:tc>
        <w:tc>
          <w:tcPr>
            <w:tcW w:w="3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1,049,041</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921,190</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319,049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313,423</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Right-of-use lease assets</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51,256</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38,737</w:t>
            </w: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506,772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501,720</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intangible assets, net</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813,174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873,540</w:t>
            </w: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Investments in associated companies</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117,998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106,915</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tax assets</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12,128</w:t>
            </w: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46,784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30,283</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assets</w:t>
            </w:r>
          </w:p>
        </w:tc>
        <w:tc>
          <w:tcPr>
            <w:tcW w:w="3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2,915,332</w:t>
            </w:r>
          </w:p>
        </w:tc>
        <w:tc>
          <w:tcPr>
            <w:tcW w:w="6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2,797,936</w:t>
            </w:r>
          </w:p>
        </w:tc>
        <w:tc>
          <w:tcPr>
            <w:tcW w:w="0" w:type="dxa"/>
            <w:vAlign w:val="bottom"/>
          </w:tcPr>
          <w:p>
            <w:pPr>
              <w:spacing w:after="0"/>
              <w:rPr>
                <w:sz w:val="1"/>
                <w:szCs w:val="1"/>
                <w:color w:val="auto"/>
              </w:rPr>
            </w:pPr>
          </w:p>
        </w:tc>
      </w:tr>
      <w:tr>
        <w:trPr>
          <w:trHeight w:val="88"/>
        </w:trPr>
        <w:tc>
          <w:tcPr>
            <w:tcW w:w="4880" w:type="dxa"/>
            <w:vAlign w:val="bottom"/>
            <w:tcBorders>
              <w:bottom w:val="single" w:sz="8" w:color="CCEEFF"/>
            </w:tcBorders>
          </w:tcPr>
          <w:p>
            <w:pPr>
              <w:spacing w:after="0"/>
              <w:rPr>
                <w:sz w:val="7"/>
                <w:szCs w:val="7"/>
                <w:color w:val="auto"/>
              </w:rPr>
            </w:pPr>
          </w:p>
        </w:tc>
        <w:tc>
          <w:tcPr>
            <w:tcW w:w="35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880" w:type="dxa"/>
            <w:vAlign w:val="bottom"/>
            <w:shd w:val="clear" w:color="auto" w:fill="CCEEFF"/>
          </w:tcPr>
          <w:p>
            <w:pPr>
              <w:spacing w:after="0"/>
              <w:rPr>
                <w:sz w:val="10"/>
                <w:szCs w:val="10"/>
                <w:color w:val="auto"/>
              </w:rPr>
            </w:pPr>
          </w:p>
        </w:tc>
        <w:tc>
          <w:tcPr>
            <w:tcW w:w="3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Short-term borrowings and current portion of long-term debt</w:t>
            </w:r>
          </w:p>
        </w:tc>
        <w:tc>
          <w:tcPr>
            <w:tcW w:w="3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20,532</w:t>
            </w:r>
          </w:p>
        </w:tc>
        <w:tc>
          <w:tcPr>
            <w:tcW w:w="6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35,657</w:t>
            </w: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233,814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198,929</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payable</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8,804</w:t>
            </w: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compensation</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51,799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41,192</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restructuring</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8,351</w:t>
            </w: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pension and postretirement benefits</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2,126</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accrued liabilities</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98,993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85,097</w:t>
            </w:r>
          </w:p>
        </w:tc>
        <w:tc>
          <w:tcPr>
            <w:tcW w:w="0" w:type="dxa"/>
            <w:vAlign w:val="bottom"/>
          </w:tcPr>
          <w:p>
            <w:pPr>
              <w:spacing w:after="0"/>
              <w:rPr>
                <w:sz w:val="1"/>
                <w:szCs w:val="1"/>
                <w:color w:val="auto"/>
              </w:rPr>
            </w:pPr>
          </w:p>
        </w:tc>
      </w:tr>
      <w:tr>
        <w:trPr>
          <w:trHeight w:val="90"/>
        </w:trPr>
        <w:tc>
          <w:tcPr>
            <w:tcW w:w="4880" w:type="dxa"/>
            <w:vAlign w:val="bottom"/>
            <w:tcBorders>
              <w:bottom w:val="single" w:sz="8" w:color="CCEEFF"/>
            </w:tcBorders>
          </w:tcPr>
          <w:p>
            <w:pPr>
              <w:spacing w:after="0"/>
              <w:rPr>
                <w:sz w:val="7"/>
                <w:szCs w:val="7"/>
                <w:color w:val="auto"/>
              </w:rPr>
            </w:pPr>
          </w:p>
        </w:tc>
        <w:tc>
          <w:tcPr>
            <w:tcW w:w="35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3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425,513</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380,156</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debt</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871,462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834,901</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35,494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22,759</w:t>
            </w: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Deferred tax liabilities</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128,162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140,814</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Non-current accrued pension and postretirement benefits</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18,641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20,615</w:t>
            </w: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18,978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22,192</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liabilities</w:t>
            </w:r>
          </w:p>
        </w:tc>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1,498,250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1,421,437</w:t>
            </w:r>
          </w:p>
        </w:tc>
        <w:tc>
          <w:tcPr>
            <w:tcW w:w="0" w:type="dxa"/>
            <w:vAlign w:val="bottom"/>
          </w:tcPr>
          <w:p>
            <w:pPr>
              <w:spacing w:after="0"/>
              <w:rPr>
                <w:sz w:val="1"/>
                <w:szCs w:val="1"/>
                <w:color w:val="auto"/>
              </w:rPr>
            </w:pPr>
          </w:p>
        </w:tc>
      </w:tr>
      <w:tr>
        <w:trPr>
          <w:trHeight w:val="90"/>
        </w:trPr>
        <w:tc>
          <w:tcPr>
            <w:tcW w:w="4880" w:type="dxa"/>
            <w:vAlign w:val="bottom"/>
            <w:tcBorders>
              <w:bottom w:val="single" w:sz="8" w:color="CCEEFF"/>
            </w:tcBorders>
          </w:tcPr>
          <w:p>
            <w:pPr>
              <w:spacing w:after="0"/>
              <w:rPr>
                <w:sz w:val="7"/>
                <w:szCs w:val="7"/>
                <w:color w:val="auto"/>
              </w:rPr>
            </w:pPr>
          </w:p>
        </w:tc>
        <w:tc>
          <w:tcPr>
            <w:tcW w:w="35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880" w:type="dxa"/>
            <w:vAlign w:val="bottom"/>
            <w:shd w:val="clear" w:color="auto" w:fill="CCEEFF"/>
          </w:tcPr>
          <w:p>
            <w:pPr>
              <w:spacing w:after="0"/>
              <w:rPr>
                <w:sz w:val="10"/>
                <w:szCs w:val="10"/>
                <w:color w:val="auto"/>
              </w:rPr>
            </w:pPr>
          </w:p>
        </w:tc>
        <w:tc>
          <w:tcPr>
            <w:tcW w:w="3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Common stock $1 par value; authorized 30,000,000 shares; issued and outstanding</w:t>
            </w:r>
          </w:p>
        </w:tc>
        <w:tc>
          <w:tcPr>
            <w:tcW w:w="3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September 30, 2026 – 17,191,225 shares; December 31, 2025 – 17,331,779 shares</w:t>
            </w:r>
          </w:p>
        </w:tc>
        <w:tc>
          <w:tcPr>
            <w:tcW w:w="3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17,191</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17,332</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Capital in excess of par value</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856,031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874,826</w:t>
            </w:r>
          </w:p>
        </w:tc>
        <w:tc>
          <w:tcPr>
            <w:tcW w:w="0" w:type="dxa"/>
            <w:vAlign w:val="bottom"/>
          </w:tcPr>
          <w:p>
            <w:pPr>
              <w:spacing w:after="0"/>
              <w:rPr>
                <w:sz w:val="1"/>
                <w:szCs w:val="1"/>
                <w:color w:val="auto"/>
              </w:rPr>
            </w:pPr>
          </w:p>
        </w:tc>
      </w:tr>
      <w:tr>
        <w:trPr>
          <w:trHeight w:val="90"/>
        </w:trPr>
        <w:tc>
          <w:tcPr>
            <w:tcW w:w="48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Retained earnings</w:t>
            </w:r>
          </w:p>
        </w:tc>
        <w:tc>
          <w:tcPr>
            <w:tcW w:w="3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646,422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596,616</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(105,978)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(115,661)</w:t>
            </w:r>
          </w:p>
        </w:tc>
        <w:tc>
          <w:tcPr>
            <w:tcW w:w="0" w:type="dxa"/>
            <w:vAlign w:val="bottom"/>
          </w:tcPr>
          <w:p>
            <w:pPr>
              <w:spacing w:after="0"/>
              <w:rPr>
                <w:sz w:val="1"/>
                <w:szCs w:val="1"/>
                <w:color w:val="auto"/>
              </w:rPr>
            </w:pPr>
          </w:p>
        </w:tc>
      </w:tr>
      <w:tr>
        <w:trPr>
          <w:trHeight w:val="90"/>
        </w:trPr>
        <w:tc>
          <w:tcPr>
            <w:tcW w:w="4880" w:type="dxa"/>
            <w:vAlign w:val="bottom"/>
            <w:tcBorders>
              <w:bottom w:val="single" w:sz="8" w:color="CCEEFF"/>
            </w:tcBorders>
          </w:tcPr>
          <w:p>
            <w:pPr>
              <w:spacing w:after="0"/>
              <w:rPr>
                <w:sz w:val="7"/>
                <w:szCs w:val="7"/>
                <w:color w:val="auto"/>
              </w:rPr>
            </w:pPr>
          </w:p>
        </w:tc>
        <w:tc>
          <w:tcPr>
            <w:tcW w:w="35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Quaker shareholders’ equity</w:t>
            </w:r>
          </w:p>
        </w:tc>
        <w:tc>
          <w:tcPr>
            <w:tcW w:w="3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1,413,666</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1,373,113</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8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w:t>
            </w:r>
          </w:p>
        </w:tc>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3,386</w:t>
            </w:r>
          </w:p>
        </w:tc>
        <w:tc>
          <w:tcPr>
            <w:tcW w:w="0" w:type="dxa"/>
            <w:vAlign w:val="bottom"/>
          </w:tcPr>
          <w:p>
            <w:pPr>
              <w:spacing w:after="0"/>
              <w:rPr>
                <w:sz w:val="1"/>
                <w:szCs w:val="1"/>
                <w:color w:val="auto"/>
              </w:rPr>
            </w:pPr>
          </w:p>
        </w:tc>
      </w:tr>
      <w:tr>
        <w:trPr>
          <w:trHeight w:val="90"/>
        </w:trPr>
        <w:tc>
          <w:tcPr>
            <w:tcW w:w="4880" w:type="dxa"/>
            <w:vAlign w:val="bottom"/>
            <w:tcBorders>
              <w:bottom w:val="single" w:sz="8" w:color="CCEEFF"/>
            </w:tcBorders>
          </w:tcPr>
          <w:p>
            <w:pPr>
              <w:spacing w:after="0"/>
              <w:rPr>
                <w:sz w:val="7"/>
                <w:szCs w:val="7"/>
                <w:color w:val="auto"/>
              </w:rPr>
            </w:pPr>
          </w:p>
        </w:tc>
        <w:tc>
          <w:tcPr>
            <w:tcW w:w="35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equity</w:t>
            </w:r>
          </w:p>
        </w:tc>
        <w:tc>
          <w:tcPr>
            <w:tcW w:w="3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1,417,082</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1,376,499</w:t>
            </w:r>
          </w:p>
        </w:tc>
        <w:tc>
          <w:tcPr>
            <w:tcW w:w="0" w:type="dxa"/>
            <w:vAlign w:val="bottom"/>
          </w:tcPr>
          <w:p>
            <w:pPr>
              <w:spacing w:after="0"/>
              <w:rPr>
                <w:sz w:val="1"/>
                <w:szCs w:val="1"/>
                <w:color w:val="auto"/>
              </w:rPr>
            </w:pPr>
          </w:p>
        </w:tc>
      </w:tr>
      <w:tr>
        <w:trPr>
          <w:trHeight w:val="90"/>
        </w:trPr>
        <w:tc>
          <w:tcPr>
            <w:tcW w:w="4880" w:type="dxa"/>
            <w:vAlign w:val="bottom"/>
            <w:shd w:val="clear" w:color="auto" w:fill="CCEEFF"/>
          </w:tcPr>
          <w:p>
            <w:pPr>
              <w:spacing w:after="0"/>
              <w:rPr>
                <w:sz w:val="7"/>
                <w:szCs w:val="7"/>
                <w:color w:val="auto"/>
              </w:rPr>
            </w:pPr>
          </w:p>
        </w:tc>
        <w:tc>
          <w:tcPr>
            <w:tcW w:w="356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8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liabilities and equity</w:t>
            </w:r>
          </w:p>
        </w:tc>
        <w:tc>
          <w:tcPr>
            <w:tcW w:w="3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2,915,332</w:t>
            </w:r>
          </w:p>
        </w:tc>
        <w:tc>
          <w:tcPr>
            <w:tcW w:w="60" w:type="dxa"/>
            <w:vAlign w:val="bottom"/>
          </w:tcPr>
          <w:p>
            <w:pPr>
              <w:spacing w:after="0"/>
              <w:rPr>
                <w:sz w:val="14"/>
                <w:szCs w:val="14"/>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2,797,936</w:t>
            </w:r>
          </w:p>
        </w:tc>
        <w:tc>
          <w:tcPr>
            <w:tcW w:w="0" w:type="dxa"/>
            <w:vAlign w:val="bottom"/>
          </w:tcPr>
          <w:p>
            <w:pPr>
              <w:spacing w:after="0"/>
              <w:rPr>
                <w:sz w:val="1"/>
                <w:szCs w:val="1"/>
                <w:color w:val="auto"/>
              </w:rPr>
            </w:pPr>
          </w:p>
        </w:tc>
      </w:tr>
      <w:tr>
        <w:trPr>
          <w:trHeight w:val="72"/>
        </w:trPr>
        <w:tc>
          <w:tcPr>
            <w:tcW w:w="4880" w:type="dxa"/>
            <w:vAlign w:val="bottom"/>
          </w:tcPr>
          <w:p>
            <w:pPr>
              <w:spacing w:after="0"/>
              <w:rPr>
                <w:sz w:val="6"/>
                <w:szCs w:val="6"/>
                <w:color w:val="auto"/>
              </w:rPr>
            </w:pPr>
          </w:p>
        </w:tc>
        <w:tc>
          <w:tcPr>
            <w:tcW w:w="3560" w:type="dxa"/>
            <w:vAlign w:val="bottom"/>
            <w:vMerge w:val="restart"/>
          </w:tcPr>
          <w:p>
            <w:pPr>
              <w:jc w:val="right"/>
              <w:ind w:right="2680"/>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5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8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2"/>
          <w:szCs w:val="12"/>
          <w:b w:val="1"/>
          <w:bCs w:val="1"/>
          <w:color w:val="auto"/>
        </w:rPr>
        <w:t>Quaker Chemical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 Dollars in thousands)</w:t>
      </w:r>
    </w:p>
    <w:p>
      <w:pPr>
        <w:spacing w:after="0" w:line="200" w:lineRule="exact"/>
        <w:rPr>
          <w:sz w:val="20"/>
          <w:szCs w:val="20"/>
          <w:color w:val="auto"/>
        </w:rPr>
      </w:pPr>
    </w:p>
    <w:p>
      <w:pPr>
        <w:spacing w:after="0" w:line="32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2"/>
          <w:szCs w:val="12"/>
          <w:b w:val="1"/>
          <w:bCs w:val="1"/>
          <w:color w:val="auto"/>
        </w:rPr>
        <w:t>Nine Months Ended</w:t>
      </w:r>
    </w:p>
    <w:p>
      <w:pPr>
        <w:spacing w:after="0" w:line="2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2"/>
          <w:szCs w:val="12"/>
          <w:b w:val="1"/>
          <w:bCs w:val="1"/>
          <w:color w:val="auto"/>
        </w:rPr>
        <w:t>September 30,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5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w:t>
            </w:r>
          </w:p>
        </w:tc>
        <w:tc>
          <w:tcPr>
            <w:tcW w:w="406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76,525</w:t>
            </w:r>
          </w:p>
        </w:tc>
        <w:tc>
          <w:tcPr>
            <w:tcW w:w="80" w:type="dxa"/>
            <w:vAlign w:val="bottom"/>
          </w:tcPr>
          <w:p>
            <w:pPr>
              <w:spacing w:after="0"/>
              <w:rPr>
                <w:sz w:val="14"/>
                <w:szCs w:val="14"/>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(23,160)</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Adjustments to reconcile net income (loss) to net cash provided by operating activities</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76,393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68,471</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Equity in undistributed earnings of associated companies, net of dividends</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(4,366)</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Deferred income taxes</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(15,997)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(16,503)</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Share-based compensation</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10,570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10,419</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Impairment charges</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88,840</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Restructuring and related charges, net</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23,760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31,128</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Inventory step-up amortization</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6,022</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Loss (gain) on disposal of property, plant and equipment and other assets</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(2,051)</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adjustments</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(5,082)</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Increase (decrease) in cash from changes in current assets and current liabilities, net of acquisitions:</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receivable</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(72,918)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4,585</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Inventories</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(16,473)</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(14,741)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(4,258)</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Accrued restructuring</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(21,671)</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52,208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(25,992)</w:t>
            </w:r>
          </w:p>
        </w:tc>
        <w:tc>
          <w:tcPr>
            <w:tcW w:w="0" w:type="dxa"/>
            <w:vAlign w:val="bottom"/>
          </w:tcPr>
          <w:p>
            <w:pPr>
              <w:spacing w:after="0"/>
              <w:rPr>
                <w:sz w:val="1"/>
                <w:szCs w:val="1"/>
                <w:color w:val="auto"/>
              </w:rPr>
            </w:pPr>
          </w:p>
        </w:tc>
      </w:tr>
      <w:tr>
        <w:trPr>
          <w:trHeight w:val="90"/>
        </w:trPr>
        <w:tc>
          <w:tcPr>
            <w:tcW w:w="5220" w:type="dxa"/>
            <w:vAlign w:val="bottom"/>
            <w:tcBorders>
              <w:bottom w:val="single" w:sz="8" w:color="CCEEFF"/>
            </w:tcBorders>
          </w:tcPr>
          <w:p>
            <w:pPr>
              <w:spacing w:after="0"/>
              <w:rPr>
                <w:sz w:val="7"/>
                <w:szCs w:val="7"/>
                <w:color w:val="auto"/>
              </w:rPr>
            </w:pPr>
          </w:p>
        </w:tc>
        <w:tc>
          <w:tcPr>
            <w:tcW w:w="322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3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47,582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89,909</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5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Investments in property, plant and equipment</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(32,466)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(33,630)</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Payments related to acquisitions, net of cash acquired</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(164,209)</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Proceeds from disposition of assets</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2,992</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investing activities</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1,828</w:t>
            </w:r>
          </w:p>
        </w:tc>
        <w:tc>
          <w:tcPr>
            <w:tcW w:w="0" w:type="dxa"/>
            <w:vAlign w:val="bottom"/>
          </w:tcPr>
          <w:p>
            <w:pPr>
              <w:spacing w:after="0"/>
              <w:rPr>
                <w:sz w:val="1"/>
                <w:szCs w:val="1"/>
                <w:color w:val="auto"/>
              </w:rPr>
            </w:pPr>
          </w:p>
        </w:tc>
      </w:tr>
      <w:tr>
        <w:trPr>
          <w:trHeight w:val="90"/>
        </w:trPr>
        <w:tc>
          <w:tcPr>
            <w:tcW w:w="5220" w:type="dxa"/>
            <w:vAlign w:val="bottom"/>
            <w:tcBorders>
              <w:bottom w:val="single" w:sz="8" w:color="CCEEFF"/>
            </w:tcBorders>
          </w:tcPr>
          <w:p>
            <w:pPr>
              <w:spacing w:after="0"/>
              <w:rPr>
                <w:sz w:val="7"/>
                <w:szCs w:val="7"/>
                <w:color w:val="auto"/>
              </w:rPr>
            </w:pPr>
          </w:p>
        </w:tc>
        <w:tc>
          <w:tcPr>
            <w:tcW w:w="322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3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(28,716)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(193,019)</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5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Payments of long-term debt</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(629,685)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(25,967)</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800,000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Borrowings on revolving credit facilities</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324,252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328,201</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Payments on revolving credit facilities</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(463,222)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(159,263)</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Payments on other debt</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Financing-related debt issuance costs</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Dividends paid</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(26,368)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(25,583)</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Shares purchased under share repurchase programs</w:t>
            </w: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(27,480)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(36,496)</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stock related activity</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(1,099)</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2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cash (used in) provided by financing activities</w:t>
            </w:r>
          </w:p>
        </w:tc>
        <w:tc>
          <w:tcPr>
            <w:tcW w:w="3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(30,759)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79,268</w:t>
            </w:r>
          </w:p>
        </w:tc>
        <w:tc>
          <w:tcPr>
            <w:tcW w:w="0" w:type="dxa"/>
            <w:vAlign w:val="bottom"/>
          </w:tcPr>
          <w:p>
            <w:pPr>
              <w:spacing w:after="0"/>
              <w:rPr>
                <w:sz w:val="1"/>
                <w:szCs w:val="1"/>
                <w:color w:val="auto"/>
              </w:rPr>
            </w:pPr>
          </w:p>
        </w:tc>
      </w:tr>
      <w:tr>
        <w:trPr>
          <w:trHeight w:val="90"/>
        </w:trPr>
        <w:tc>
          <w:tcPr>
            <w:tcW w:w="5220" w:type="dxa"/>
            <w:vAlign w:val="bottom"/>
            <w:tcBorders>
              <w:bottom w:val="single" w:sz="8" w:color="CCEEFF"/>
            </w:tcBorders>
          </w:tcPr>
          <w:p>
            <w:pPr>
              <w:spacing w:after="0"/>
              <w:rPr>
                <w:sz w:val="7"/>
                <w:szCs w:val="7"/>
                <w:color w:val="auto"/>
              </w:rPr>
            </w:pPr>
          </w:p>
        </w:tc>
        <w:tc>
          <w:tcPr>
            <w:tcW w:w="322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Effect of foreign exchange rate changes on cash</w:t>
            </w:r>
          </w:p>
        </w:tc>
        <w:tc>
          <w:tcPr>
            <w:tcW w:w="3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decrease in cash and cash equivalents</w:t>
            </w:r>
          </w:p>
        </w:tc>
        <w:tc>
          <w:tcPr>
            <w:tcW w:w="3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(16,842)</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 at the beginning of the period</w:t>
            </w:r>
          </w:p>
        </w:tc>
        <w:tc>
          <w:tcPr>
            <w:tcW w:w="3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179,829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188,880</w:t>
            </w:r>
          </w:p>
        </w:tc>
        <w:tc>
          <w:tcPr>
            <w:tcW w:w="0" w:type="dxa"/>
            <w:vAlign w:val="bottom"/>
          </w:tcPr>
          <w:p>
            <w:pPr>
              <w:spacing w:after="0"/>
              <w:rPr>
                <w:sz w:val="1"/>
                <w:szCs w:val="1"/>
                <w:color w:val="auto"/>
              </w:rPr>
            </w:pPr>
          </w:p>
        </w:tc>
      </w:tr>
      <w:tr>
        <w:trPr>
          <w:trHeight w:val="90"/>
        </w:trPr>
        <w:tc>
          <w:tcPr>
            <w:tcW w:w="52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and cash equivalents at the end of the period</w:t>
            </w:r>
          </w:p>
        </w:tc>
        <w:tc>
          <w:tcPr>
            <w:tcW w:w="406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167,006</w:t>
            </w:r>
          </w:p>
        </w:tc>
        <w:tc>
          <w:tcPr>
            <w:tcW w:w="80" w:type="dxa"/>
            <w:vAlign w:val="bottom"/>
          </w:tcPr>
          <w:p>
            <w:pPr>
              <w:spacing w:after="0"/>
              <w:rPr>
                <w:sz w:val="14"/>
                <w:szCs w:val="14"/>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172,038</w:t>
            </w:r>
          </w:p>
        </w:tc>
        <w:tc>
          <w:tcPr>
            <w:tcW w:w="0" w:type="dxa"/>
            <w:vAlign w:val="bottom"/>
          </w:tcPr>
          <w:p>
            <w:pPr>
              <w:spacing w:after="0"/>
              <w:rPr>
                <w:sz w:val="1"/>
                <w:szCs w:val="1"/>
                <w:color w:val="auto"/>
              </w:rPr>
            </w:pPr>
          </w:p>
        </w:tc>
      </w:tr>
      <w:tr>
        <w:trPr>
          <w:trHeight w:val="72"/>
        </w:trPr>
        <w:tc>
          <w:tcPr>
            <w:tcW w:w="5220" w:type="dxa"/>
            <w:vAlign w:val="bottom"/>
          </w:tcPr>
          <w:p>
            <w:pPr>
              <w:spacing w:after="0"/>
              <w:rPr>
                <w:sz w:val="6"/>
                <w:szCs w:val="6"/>
                <w:color w:val="auto"/>
              </w:rPr>
            </w:pPr>
          </w:p>
        </w:tc>
        <w:tc>
          <w:tcPr>
            <w:tcW w:w="3220" w:type="dxa"/>
            <w:vAlign w:val="bottom"/>
            <w:vMerge w:val="restart"/>
          </w:tcPr>
          <w:p>
            <w:pPr>
              <w:jc w:val="right"/>
              <w:ind w:right="2700"/>
              <w:spacing w:after="0"/>
              <w:rPr>
                <w:sz w:val="20"/>
                <w:szCs w:val="20"/>
                <w:color w:val="auto"/>
              </w:rPr>
            </w:pPr>
            <w:r>
              <w:rPr>
                <w:rFonts w:ascii="Times New Roman" w:cs="Times New Roman" w:eastAsia="Times New Roman" w:hAnsi="Times New Roman"/>
                <w:sz w:val="12"/>
                <w:szCs w:val="12"/>
                <w:color w:val="auto"/>
              </w:rPr>
              <w:t>11</w:t>
            </w:r>
          </w:p>
        </w:tc>
        <w:tc>
          <w:tcPr>
            <w:tcW w:w="8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22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2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7" w:right="339"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2026-10-29T16:47:02Z</dcterms:created>
  <dcterms:modified xsi:type="dcterms:W3CDTF">2026-10-29T16:47:02Z</dcterms:modified>
</cp:coreProperties>
</file>