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3135.xml.htm"/>
      <w:bookmarkStart w:id="1" w:name="kswkform4_17804331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Shaller Russell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E. HECTOR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19428-2380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QUAKER CHEMICAL CORP</w:t>
              </w:r>
            </w:hyperlink>
            <w:r>
              <w:rPr/>
              <w:t xml:space="preserve"> [ </w:t>
            </w:r>
            <w:r>
              <w:rPr>
                <w:rFonts w:ascii="Times;serif" w:hAnsi="Times;serif"/>
                <w:color w:val="0000FF"/>
                <w:sz w:val="24"/>
                <w:shd w:fill="FFFFFF" w:val="clear"/>
              </w:rPr>
              <w:t>KWR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145.24</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516"/>
        <w:gridCol w:w="606"/>
        <w:gridCol w:w="906"/>
        <w:gridCol w:w="801"/>
        <w:gridCol w:w="891"/>
        <w:gridCol w:w="68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975</w:t>
            </w:r>
            <w:r>
              <w:rPr>
                <w:rFonts w:ascii="Times;serif" w:hAnsi="Times;serif"/>
                <w:color w:val="008000"/>
                <w:position w:val="7"/>
                <w:sz w:val="16"/>
                <w:sz w:val="20"/>
                <w:shd w:fill="FFFFFF" w:val="clear"/>
              </w:rPr>
              <w:t>(6)</w:t>
            </w:r>
            <w:r>
              <w:rPr/>
              <w:t xml:space="preserve"> </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Settlement of dividend equivalent rights in connection with vesting of restricted stock unit. The rights accrued when and as dividends were paid on KWR common stock. Each dividend equivalent right was the economic equivalent of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75% of the Director's annual retainer paid in shares pursuant to the 2023 Director Stock Ownership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1, 2025, the reporting person was granted time-based restricted stock units that vested 100% on May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Time-based restricted stock units granted under the Company's Long-Term Performance Incentive Plan to Quaker Houghton's non-management directors as part of their 2026 compensation. Each restricted stock unit represents a contingent right to receive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100% on May 31, 2027. Dividend equivalent rights accrue with respect to these restricted stock units when and as dividends are paid on KWR's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Victoria K. Gehris, Attorney-in-Fact for Russell Shaller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6159" TargetMode="External"/><Relationship Id="rId5" Type="http://schemas.openxmlformats.org/officeDocument/2006/relationships/hyperlink" Target="http://www.sec.gov/cgi-bin/browse-edgar?action=getcompany&amp;CIK=00000813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4219</Characters>
  <CharactersWithSpaces>4900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